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rchlineMeta"/>
        <w:spacing w:before="0" w:after="240" w:line="276" w:lineRule="auto"/>
        <w:jc w:val="center"/>
      </w:pPr>
      <w:r>
        <w:t>Torchline Research Series</w:t>
      </w:r>
    </w:p>
    <w:p>
      <w:pPr>
        <w:pStyle w:val="TorchlineTitle"/>
        <w:spacing w:before="0" w:after="120" w:line="276" w:lineRule="auto"/>
        <w:jc w:val="center"/>
      </w:pPr>
      <w:r>
        <w:t>AI Adoption in Small Businesses</w:t>
      </w:r>
    </w:p>
    <w:p>
      <w:pPr>
        <w:pStyle w:val="TorchlineSubtitle"/>
        <w:spacing w:before="0" w:after="360" w:line="276" w:lineRule="auto"/>
        <w:jc w:val="center"/>
      </w:pPr>
      <w:r>
        <w:t>Examining barriers and enablers of AI adoption in SMBs with a focus on practical implementation strategies</w:t>
      </w:r>
    </w:p>
    <w:p>
      <w:pPr>
        <w:pStyle w:val="TorchlineMeta"/>
        <w:spacing w:before="0" w:after="120" w:line="276" w:lineRule="auto"/>
        <w:jc w:val="center"/>
      </w:pPr>
      <w:r>
        <w:t>Year 2024</w:t>
      </w:r>
    </w:p>
    <w:p>
      <w:pPr>
        <w:pStyle w:val="TorchlineMeta"/>
        <w:spacing w:before="0" w:after="120" w:line="276" w:lineRule="auto"/>
        <w:jc w:val="center"/>
      </w:pPr>
      <w:r>
        <w:t>Prepared for the Torchline website</w:t>
      </w:r>
    </w:p>
    <w:p>
      <w:pPr>
        <w:pStyle w:val="TorchlineMeta"/>
        <w:spacing w:before="0" w:after="0" w:line="276" w:lineRule="auto"/>
        <w:jc w:val="center"/>
      </w:pPr>
      <w:r>
        <w:t>Torchline</w:t>
      </w:r>
    </w:p>
    <w:p>
      <w:r>
        <w:br w:type="page"/>
      </w:r>
    </w:p>
    <w:p>
      <w:pPr>
        <w:pStyle w:val="Heading1"/>
      </w:pPr>
      <w:r>
        <w:t>Abstract</w:t>
      </w:r>
    </w:p>
    <w:p>
      <w:pPr>
        <w:spacing w:before="120" w:after="240" w:line="276" w:lineRule="auto"/>
      </w:pPr>
      <w:r>
        <w:t>Small and medium sized businesses are under increasing pressure to modernize operations, improve customer experience, and deliver more with constrained resources. Artificial intelligence is often presented as a shortcut to productivity gains, yet adoption in SMBs remains uneven. This paper synthesizes current evidence on AI adoption in SMBs and frames barriers and enablers using the Technology Organization Environment framework and Diffusion of Innovations theory. It proposes a practical research design that can be executed by SMB focused platforms and service providers, and it translates findings into an implementation playbook designed for real world constraints. The paper emphasizes readiness, data foundations, governance, and change management as the primary drivers of sustainable value. It concludes with an actionable roadmap that connects AI use cases to process redesign and measurable outcomes.</w:t>
      </w:r>
    </w:p>
    <w:p>
      <w:pPr>
        <w:spacing w:before="0" w:after="240" w:line="276" w:lineRule="auto"/>
      </w:pPr>
      <w:r>
        <w:t>Keywords: artificial intelligence, small and medium sized businesses, SMB, digital transformation, adoption, implementation</w:t>
      </w:r>
    </w:p>
    <w:p>
      <w:pPr>
        <w:pStyle w:val="Heading1"/>
      </w:pPr>
      <w:r>
        <w:t>Executive Summary</w:t>
      </w:r>
    </w:p>
    <w:p>
      <w:pPr>
        <w:spacing w:before="120" w:after="120" w:line="276" w:lineRule="auto"/>
      </w:pPr>
      <w:r>
        <w:t>AI adoption in SMBs is accelerating, but many firms still struggle to move from experimentation to repeatable value. Evidence from surveys and cross industry research suggests that outcomes depend less on model sophistication and more on business process clarity, data readiness, workforce capability, and responsible governance.</w:t>
      </w:r>
    </w:p>
    <w:p>
      <w:pPr>
        <w:spacing w:before="0" w:after="0" w:line="276" w:lineRule="auto"/>
      </w:pPr>
      <w:r>
        <w:t>1. SMBs report strong expectations of productivity gains from AI, with many already using AI for customer service and time saving tasks.</w:t>
      </w:r>
    </w:p>
    <w:p>
      <w:pPr>
        <w:spacing w:before="0" w:after="0" w:line="276" w:lineRule="auto"/>
      </w:pPr>
      <w:r>
        <w:t>2. A common adoption gap appears between early experimentation and scaled, embedded workflows that deliver measurable business outcomes.</w:t>
      </w:r>
    </w:p>
    <w:p>
      <w:pPr>
        <w:spacing w:before="0" w:after="0" w:line="276" w:lineRule="auto"/>
      </w:pPr>
      <w:r>
        <w:t>3. The most persistent barriers are skills and change capacity, unclear return on investment, and insufficient data maturity and governance.</w:t>
      </w:r>
    </w:p>
    <w:p>
      <w:pPr>
        <w:spacing w:before="0" w:after="0" w:line="276" w:lineRule="auto"/>
      </w:pPr>
      <w:r>
        <w:t>4. Enablers include clear use case selection tied to measurable objectives, modern digital foundations, leadership sponsorship, and practical training.</w:t>
      </w:r>
    </w:p>
    <w:p>
      <w:pPr>
        <w:spacing w:before="0" w:after="0" w:line="276" w:lineRule="auto"/>
      </w:pPr>
      <w:r>
        <w:t>5. Implementation strategies that prioritize people and process redesign alongside technology deliver more durable results than tool only deployments.</w:t>
      </w:r>
    </w:p>
    <w:p/>
    <w:p>
      <w:pPr>
        <w:pStyle w:val="Heading1"/>
      </w:pPr>
      <w:r>
        <w:t>1. Introduction</w:t>
      </w:r>
    </w:p>
    <w:p>
      <w:pPr>
        <w:spacing w:before="120" w:after="120" w:line="276" w:lineRule="auto"/>
      </w:pPr>
      <w:r>
        <w:t>Digital transformation has become a competitive necessity for SMBs. Rising customer expectations, tighter labor markets, and faster product cycles require better forecasting, faster execution, and more resilient operations. AI can augment human work through automation, decision support, and natural language interfaces that lower the cost of accessing expertise. At the same time, SMBs face unique constraints: limited budgets, smaller data teams, and less tolerance for implementation risk.</w:t>
      </w:r>
    </w:p>
    <w:p>
      <w:pPr>
        <w:spacing w:before="0" w:after="120" w:line="276" w:lineRule="auto"/>
      </w:pPr>
      <w:r>
        <w:t>Recent surveys reflect both momentum and friction. In a Microsoft survey of SMB decision makers across multiple countries in the Americas, 84 percent agreed that AI has a positive impact on productivity and respondents reported an average productivity increase of 40 percent. The same survey reports that 33 percent had already invested in AI and 71 percent expected to continue or begin investment in the next period.</w:t>
      </w:r>
    </w:p>
    <w:p>
      <w:pPr>
        <w:spacing w:before="0" w:after="240" w:line="276" w:lineRule="auto"/>
      </w:pPr>
      <w:r>
        <w:t>In the United States, a US Chamber of Commerce report found that 40 percent of small businesses self identified as using generative AI in 2024, and 58 percent in 2025. Adoption growth is real, yet it does not automatically translate into value. A broader McKinsey survey across organizations reports that 65 percent of respondents say their organizations regularly use generative AI in at least one business function, suggesting that experimentation is widespread beyond large enterprises. However, research also indicates that many organizations struggle to scale, with Boston Consulting Group reporting that 74 percent of surveyed companies had yet to show tangible value from AI use and only 26 percent had built capabilities to move beyond proofs of concept.</w:t>
      </w:r>
    </w:p>
    <w:p>
      <w:pPr>
        <w:spacing w:before="0" w:after="240" w:line="276" w:lineRule="auto"/>
      </w:pPr>
      <w:r>
        <w:t>This paper addresses a practical question: what prevents SMBs from adopting AI in ways that measurably improve operations, and what can be done to enable successful adoption. The paper is designed for SMB leaders and for platform providers such as Torchline that build systems of record and workflow automation for SMB operations.</w:t>
      </w:r>
    </w:p>
    <w:p>
      <w:pPr>
        <w:pStyle w:val="Heading1"/>
      </w:pPr>
      <w:r>
        <w:t>2. Problem Statement and Objectives</w:t>
      </w:r>
    </w:p>
    <w:p>
      <w:pPr>
        <w:spacing w:before="120" w:after="120" w:line="276" w:lineRule="auto"/>
      </w:pPr>
      <w:r>
        <w:t>Despite growing interest and tool availability, many SMBs experience stalled adoption. Pilots remain isolated, employees rely on informal tools, and leaders struggle to justify investments without clear measurement. The gap between adoption intent and sustained operational impact is the core problem examined.</w:t>
      </w:r>
    </w:p>
    <w:p>
      <w:pPr>
        <w:spacing w:before="0" w:after="0" w:line="276" w:lineRule="auto"/>
      </w:pPr>
      <w:r>
        <w:t>1. Identify the primary barriers that reduce AI adoption readiness in SMBs.</w:t>
      </w:r>
    </w:p>
    <w:p>
      <w:pPr>
        <w:spacing w:before="0" w:after="0" w:line="276" w:lineRule="auto"/>
      </w:pPr>
      <w:r>
        <w:t>2. Identify enabling factors that increase adoption probability and depth of use.</w:t>
      </w:r>
    </w:p>
    <w:p>
      <w:pPr>
        <w:spacing w:before="0" w:after="0" w:line="276" w:lineRule="auto"/>
      </w:pPr>
      <w:r>
        <w:t>3. Provide a research design that can test these factors in SMB contexts.</w:t>
      </w:r>
    </w:p>
    <w:p>
      <w:pPr>
        <w:spacing w:before="0" w:after="0" w:line="276" w:lineRule="auto"/>
      </w:pPr>
      <w:r>
        <w:t>4. Translate evidence into an implementation playbook that supports safe, measurable outcomes.</w:t>
      </w:r>
    </w:p>
    <w:p/>
    <w:p>
      <w:pPr>
        <w:pStyle w:val="Heading1"/>
      </w:pPr>
      <w:r>
        <w:t>3. Literature Review and Theoretical Foundations</w:t>
      </w:r>
    </w:p>
    <w:p>
      <w:pPr>
        <w:spacing w:before="120" w:after="240" w:line="276" w:lineRule="auto"/>
      </w:pPr>
      <w:r>
        <w:t>Research on technology adoption consistently shows that value creation depends on context, not only on technology features. Two complementary perspectives are useful for SMB AI adoption: the Technology Organization Environment framework, which structures contextual drivers, and Diffusion of Innovations theory, which captures how perceived innovation attributes shape adoption decisions.</w:t>
      </w:r>
    </w:p>
    <w:p>
      <w:pPr>
        <w:pStyle w:val="Heading2"/>
      </w:pPr>
      <w:r>
        <w:t>3.1 Technology Organization Environment framework</w:t>
      </w:r>
    </w:p>
    <w:p>
      <w:pPr>
        <w:spacing w:before="120" w:after="240" w:line="276" w:lineRule="auto"/>
      </w:pPr>
      <w:r>
        <w:t>The Technology Organization Environment framework organizes adoption drivers into three domains. Technology factors capture technical readiness, data quality, integration complexity, and security. Organization factors capture leadership support, skills, culture, change capacity, and process maturity. Environment factors capture competitive pressure, customer expectations, regulation, and vendor ecosystem maturity.</w:t>
      </w:r>
    </w:p>
    <w:p>
      <w:pPr>
        <w:pStyle w:val="Heading2"/>
      </w:pPr>
      <w:r>
        <w:t>3.2 Diffusion of Innovations theory</w:t>
      </w:r>
    </w:p>
    <w:p>
      <w:pPr>
        <w:spacing w:before="120" w:after="240" w:line="276" w:lineRule="auto"/>
      </w:pPr>
      <w:r>
        <w:t>Diffusion of Innovations theory emphasizes how potential adopters perceive an innovation. Perceived relative advantage, compatibility with existing workflows, complexity, trialability, and observability shape whether adoption accelerates or stalls. For SMBs, these perceptions are often grounded in immediate operational realities, such as whether a tool reduces cycle time, improves order accuracy, or lowers customer support burden.</w:t>
      </w:r>
    </w:p>
    <w:p>
      <w:pPr>
        <w:pStyle w:val="Heading2"/>
      </w:pPr>
      <w:r>
        <w:t>3.3 Barriers and enablers observed in current evidence</w:t>
      </w:r>
    </w:p>
    <w:p>
      <w:pPr>
        <w:spacing w:before="120" w:after="120" w:line="276" w:lineRule="auto"/>
      </w:pPr>
      <w:r>
        <w:t>Evidence from policy research and industry surveys highlights recurring barriers. The Organisation for Economic Cooperation and Development notes that uncertainty over return on investment and a lack of data maturity are fundamental obstacles, and that managers may struggle to translate AI capabilities into concrete workplace improvements.</w:t>
      </w:r>
    </w:p>
    <w:p>
      <w:pPr>
        <w:spacing w:before="0" w:after="240" w:line="276" w:lineRule="auto"/>
      </w:pPr>
      <w:r>
        <w:t>SMBs also face practical issues: limited time for experimentation, fragmented systems, inconsistent master data, and security concerns. Enablers appear when SMBs have a stable digital foundation, clear process ownership, and a portfolio of use cases prioritized by measurable impact.</w:t>
      </w:r>
    </w:p>
    <w:p>
      <w:pPr>
        <w:pStyle w:val="Heading3"/>
      </w:pPr>
      <w:r>
        <w:t>Table 1. Common barriers and enablers for SMB AI adoption</w:t>
      </w:r>
    </w:p>
    <w:tbl>
      <w:tblPr>
        <w:tblW w:type="auto" w:w="0"/>
        <w:tblLook w:firstColumn="1" w:firstRow="1" w:lastColumn="0" w:lastRow="0" w:noHBand="0" w:noVBand="1" w:val="04A0"/>
      </w:tblPr>
      <w:tblGrid>
        <w:gridCol w:w="3120"/>
        <w:gridCol w:w="3120"/>
        <w:gridCol w:w="3120"/>
      </w:tblGrid>
      <w:tr>
        <w:tc>
          <w:tcPr>
            <w:tcW w:type="dxa" w:w="3120"/>
          </w:tcPr>
          <w:p>
            <w:r>
              <w:t>Domain</w:t>
            </w:r>
          </w:p>
        </w:tc>
        <w:tc>
          <w:tcPr>
            <w:tcW w:type="dxa" w:w="3120"/>
          </w:tcPr>
          <w:p>
            <w:r>
              <w:t>Common barriers</w:t>
            </w:r>
          </w:p>
        </w:tc>
        <w:tc>
          <w:tcPr>
            <w:tcW w:type="dxa" w:w="3120"/>
          </w:tcPr>
          <w:p>
            <w:r>
              <w:t>Common enablers</w:t>
            </w:r>
          </w:p>
        </w:tc>
      </w:tr>
      <w:tr>
        <w:tc>
          <w:tcPr>
            <w:tcW w:type="dxa" w:w="3120"/>
          </w:tcPr>
          <w:p>
            <w:r>
              <w:t>Technology</w:t>
            </w:r>
          </w:p>
        </w:tc>
        <w:tc>
          <w:tcPr>
            <w:tcW w:type="dxa" w:w="3120"/>
          </w:tcPr>
          <w:p>
            <w:r>
              <w:t>Low data quality, limited integration across systems, unclear security posture, limited analytics foundation</w:t>
            </w:r>
          </w:p>
        </w:tc>
        <w:tc>
          <w:tcPr>
            <w:tcW w:type="dxa" w:w="3120"/>
          </w:tcPr>
          <w:p>
            <w:r>
              <w:t>Clean master data, unified system of record, secure access controls, reliable reporting and process telemetry</w:t>
            </w:r>
          </w:p>
        </w:tc>
      </w:tr>
      <w:tr>
        <w:tc>
          <w:tcPr>
            <w:tcW w:type="dxa" w:w="3120"/>
          </w:tcPr>
          <w:p>
            <w:r>
              <w:t>Organization</w:t>
            </w:r>
          </w:p>
        </w:tc>
        <w:tc>
          <w:tcPr>
            <w:tcW w:type="dxa" w:w="3120"/>
          </w:tcPr>
          <w:p>
            <w:r>
              <w:t>Skills gaps, limited change capacity, unclear ownership, fear of disruption, lack of training time</w:t>
            </w:r>
          </w:p>
        </w:tc>
        <w:tc>
          <w:tcPr>
            <w:tcW w:type="dxa" w:w="3120"/>
          </w:tcPr>
          <w:p>
            <w:r>
              <w:t>Leadership sponsorship, training plan, clear process owners, realistic workload planning, learning by doing</w:t>
            </w:r>
          </w:p>
        </w:tc>
      </w:tr>
      <w:tr>
        <w:tc>
          <w:tcPr>
            <w:tcW w:type="dxa" w:w="3120"/>
          </w:tcPr>
          <w:p>
            <w:r>
              <w:t>Environment</w:t>
            </w:r>
          </w:p>
        </w:tc>
        <w:tc>
          <w:tcPr>
            <w:tcW w:type="dxa" w:w="3120"/>
          </w:tcPr>
          <w:p>
            <w:r>
              <w:t>Regulatory uncertainty, vendor confusion, competitive pressure without strategy, customer data risk</w:t>
            </w:r>
          </w:p>
        </w:tc>
        <w:tc>
          <w:tcPr>
            <w:tcW w:type="dxa" w:w="3120"/>
          </w:tcPr>
          <w:p>
            <w:r>
              <w:t>Clear vendor criteria, responsible AI policies, partner ecosystem, industry specific templates and benchmarks</w:t>
            </w:r>
          </w:p>
        </w:tc>
      </w:tr>
    </w:tbl>
    <w:p/>
    <w:p>
      <w:pPr>
        <w:pStyle w:val="Heading1"/>
      </w:pPr>
      <w:r>
        <w:t>4. Conceptual Model and Research Questions</w:t>
      </w:r>
    </w:p>
    <w:p>
      <w:pPr>
        <w:spacing w:before="120" w:after="240" w:line="276" w:lineRule="auto"/>
      </w:pPr>
      <w:r>
        <w:t>Based on the frameworks above, this paper defines adoption in two layers. Adoption initiation reflects whether an SMB begins using AI tools for targeted tasks. Adoption depth reflects whether AI becomes embedded in core workflows and governance. The conceptual model proposes that Technology Organization Environment factors and Diffusion of Innovations perceptions jointly influence both layers.</w:t>
      </w:r>
    </w:p>
    <w:p>
      <w:pPr>
        <w:pStyle w:val="Heading2"/>
      </w:pPr>
      <w:r>
        <w:t>4.1 Research questions</w:t>
      </w:r>
    </w:p>
    <w:p>
      <w:pPr>
        <w:spacing w:before="0" w:after="0" w:line="276" w:lineRule="auto"/>
      </w:pPr>
      <w:r>
        <w:t>1. Which Technology Organization Environment factors best predict adoption initiation in SMBs?</w:t>
      </w:r>
    </w:p>
    <w:p>
      <w:pPr>
        <w:spacing w:before="0" w:after="0" w:line="276" w:lineRule="auto"/>
      </w:pPr>
      <w:r>
        <w:t>2. Which factors best predict adoption depth and sustained usage in core workflows?</w:t>
      </w:r>
    </w:p>
    <w:p>
      <w:pPr>
        <w:spacing w:before="0" w:after="0" w:line="276" w:lineRule="auto"/>
      </w:pPr>
      <w:r>
        <w:t>3. How do perceived innovation attributes shape the relationship between readiness and adoption outcomes?</w:t>
      </w:r>
    </w:p>
    <w:p>
      <w:pPr>
        <w:spacing w:before="0" w:after="0" w:line="276" w:lineRule="auto"/>
      </w:pPr>
      <w:r>
        <w:t>4. Which implementation practices most strongly mediate the link between adoption and measurable business value?</w:t>
      </w:r>
    </w:p>
    <w:p/>
    <w:p>
      <w:pPr>
        <w:pStyle w:val="Heading2"/>
      </w:pPr>
      <w:r>
        <w:t>4.2 Hypotheses and expected relationships</w:t>
      </w:r>
    </w:p>
    <w:p>
      <w:pPr>
        <w:spacing w:before="120" w:after="240" w:line="276" w:lineRule="auto"/>
      </w:pPr>
      <w:r>
        <w:t>The model expects that data readiness, integration maturity, and governance clarity will be among the strongest predictors of adoption depth. It also expects that leadership sponsorship and workforce training will moderate the impact of technology readiness. Finally, perceived relative advantage and compatibility are expected to explain why some SMBs scale AI use even when their baseline data maturity is not ideal.</w:t>
      </w:r>
    </w:p>
    <w:p>
      <w:pPr>
        <w:pStyle w:val="Heading1"/>
      </w:pPr>
      <w:r>
        <w:t>5. Methodology</w:t>
      </w:r>
    </w:p>
    <w:p>
      <w:pPr>
        <w:spacing w:before="120" w:after="240" w:line="276" w:lineRule="auto"/>
      </w:pPr>
      <w:r>
        <w:t>A mixed methods design can capture both measurable drivers and contextual nuance. The approach combines a cross sectional survey, semi structured interviews, and a small number of implementation case studies conducted over a defined period.</w:t>
      </w:r>
    </w:p>
    <w:p>
      <w:pPr>
        <w:pStyle w:val="Heading2"/>
      </w:pPr>
      <w:r>
        <w:t>5.1 Survey design</w:t>
      </w:r>
    </w:p>
    <w:p>
      <w:pPr>
        <w:spacing w:before="120" w:after="240" w:line="276" w:lineRule="auto"/>
      </w:pPr>
      <w:r>
        <w:t>The survey targets SMB owners, general managers, operations leaders, and functional heads. It measures readiness, perceptions, implementation practices, and outcomes. Items use a five point agreement scale. Key outcome variables include adoption initiation, adoption depth, and perceived and measured performance impacts.</w:t>
      </w:r>
    </w:p>
    <w:p>
      <w:pPr>
        <w:pStyle w:val="Heading2"/>
      </w:pPr>
      <w:r>
        <w:t>5.2 Interviews and case studies</w:t>
      </w:r>
    </w:p>
    <w:p>
      <w:pPr>
        <w:spacing w:before="120" w:after="240" w:line="276" w:lineRule="auto"/>
      </w:pPr>
      <w:r>
        <w:t>Interviews provide qualitative validation and explain mechanisms. Case studies track the implementation of a small set of AI enabled workflows, including governance decisions, training activities, and operational metrics. Case studies are especially valuable for SMBs because context varies widely by industry and data maturity.</w:t>
      </w:r>
    </w:p>
    <w:p>
      <w:pPr>
        <w:pStyle w:val="Heading2"/>
      </w:pPr>
      <w:r>
        <w:t>5.3 Measurement constructs</w:t>
      </w:r>
    </w:p>
    <w:p>
      <w:pPr>
        <w:spacing w:before="0" w:after="0" w:line="276" w:lineRule="auto"/>
      </w:pPr>
      <w:r>
        <w:t>1. Data readiness: completeness and consistency of key entities such as customers, products, vendors, inventory, and financial accounts.</w:t>
      </w:r>
    </w:p>
    <w:p>
      <w:pPr>
        <w:spacing w:before="0" w:after="0" w:line="276" w:lineRule="auto"/>
      </w:pPr>
      <w:r>
        <w:t>2. Process maturity: presence of documented processes, ownership, and reliable cycle time and quality measurement.</w:t>
      </w:r>
    </w:p>
    <w:p>
      <w:pPr>
        <w:spacing w:before="0" w:after="0" w:line="276" w:lineRule="auto"/>
      </w:pPr>
      <w:r>
        <w:t>3. Integration maturity: degree of system fragmentation and availability of unified workflow telemetry.</w:t>
      </w:r>
    </w:p>
    <w:p>
      <w:pPr>
        <w:spacing w:before="0" w:after="0" w:line="276" w:lineRule="auto"/>
      </w:pPr>
      <w:r>
        <w:t>4. Security and governance: access control practices, auditability, and policies for AI tool usage and data handling.</w:t>
      </w:r>
    </w:p>
    <w:p>
      <w:pPr>
        <w:spacing w:before="0" w:after="0" w:line="276" w:lineRule="auto"/>
      </w:pPr>
      <w:r>
        <w:t>5. Skills and change capacity: availability of training, internal champions, and time allocated to learning and redesign.</w:t>
      </w:r>
    </w:p>
    <w:p>
      <w:pPr>
        <w:spacing w:before="0" w:after="0" w:line="276" w:lineRule="auto"/>
      </w:pPr>
      <w:r>
        <w:t>6. Perceived innovation attributes: relative advantage, compatibility, and perceived complexity.</w:t>
      </w:r>
    </w:p>
    <w:p/>
    <w:p>
      <w:pPr>
        <w:pStyle w:val="Heading2"/>
      </w:pPr>
      <w:r>
        <w:t>5.4 Analysis plan</w:t>
      </w:r>
    </w:p>
    <w:p>
      <w:pPr>
        <w:spacing w:before="120" w:after="240" w:line="276" w:lineRule="auto"/>
      </w:pPr>
      <w:r>
        <w:t>Quantitative analysis can use regression or structural equation modeling to estimate relationships among readiness, perceptions, and outcomes. Qualitative analysis can use thematic coding to identify recurring patterns in successful and stalled implementations. Triangulation across methods strengthens external validity and improves practical guidance.</w:t>
      </w:r>
    </w:p>
    <w:p>
      <w:pPr>
        <w:pStyle w:val="Heading1"/>
      </w:pPr>
      <w:r>
        <w:t>6. Practical Implementation Strategies for SMBs</w:t>
      </w:r>
    </w:p>
    <w:p>
      <w:pPr>
        <w:spacing w:before="120" w:after="240" w:line="276" w:lineRule="auto"/>
      </w:pPr>
      <w:r>
        <w:t>The most useful implementation strategies treat AI adoption as a business transformation program rather than a tool rollout. For SMBs, the goal is not to maximize model complexity. The goal is to improve specific workflows with measurable outcomes while maintaining trust, safety, and operational continuity.</w:t>
      </w:r>
    </w:p>
    <w:p>
      <w:pPr>
        <w:pStyle w:val="Heading2"/>
      </w:pPr>
      <w:r>
        <w:t>6.1 Start with a readiness assessment</w:t>
      </w:r>
    </w:p>
    <w:p>
      <w:pPr>
        <w:spacing w:before="120" w:after="240" w:line="276" w:lineRule="auto"/>
      </w:pPr>
      <w:r>
        <w:t>A readiness assessment should take one to two weeks and produce a prioritized backlog. It evaluates data quality, process ownership, system fragmentation, and risk controls. Torchline style systems can accelerate this by using built in diagnostics and by surfacing missing master data and incomplete workflow states.</w:t>
      </w:r>
    </w:p>
    <w:p>
      <w:pPr>
        <w:pStyle w:val="Heading2"/>
      </w:pPr>
      <w:r>
        <w:t>6.2 Build a use case portfolio tied to outcomes</w:t>
      </w:r>
    </w:p>
    <w:p>
      <w:pPr>
        <w:spacing w:before="120" w:after="240" w:line="276" w:lineRule="auto"/>
      </w:pPr>
      <w:r>
        <w:t>SMBs should select a small portfolio of high value use cases that map to operational pain points and measurable outcomes. Examples include demand forecasting support, exception based inventory replenishment, automated invoice coding suggestions, customer support triage, and production schedule risk alerts. Each use case should define a baseline metric, a target improvement, and an owner.</w:t>
      </w:r>
    </w:p>
    <w:p>
      <w:pPr>
        <w:pStyle w:val="Heading2"/>
      </w:pPr>
      <w:r>
        <w:t>6.3 Establish data and process foundations</w:t>
      </w:r>
    </w:p>
    <w:p>
      <w:pPr>
        <w:spacing w:before="120" w:after="240" w:line="276" w:lineRule="auto"/>
      </w:pPr>
      <w:r>
        <w:t>Data and process foundations are the strongest predictors of sustainable value. Before scaling AI, SMBs should standardize key entities, enforce validation at data entry, and ensure that workflows have explicit states. A unified operational data model reduces integration costs and makes it easier to monitor outcomes.</w:t>
      </w:r>
    </w:p>
    <w:p>
      <w:pPr>
        <w:pStyle w:val="Heading2"/>
      </w:pPr>
      <w:r>
        <w:t>6.4 Governance, security, and responsible use</w:t>
      </w:r>
    </w:p>
    <w:p>
      <w:pPr>
        <w:spacing w:before="120" w:after="240" w:line="276" w:lineRule="auto"/>
      </w:pPr>
      <w:r>
        <w:t>Governance should be lightweight but explicit. SMBs need clear rules for what data can be shared with external tools, how outputs are reviewed, and how errors are handled. OECD research highlights that uncertainty over return on investment and lack of data maturity hinder adoption, and it also notes that managers often underestimate enterprise wide culture implications. Clear governance and communication reduce these risks.</w:t>
      </w:r>
    </w:p>
    <w:p>
      <w:pPr>
        <w:pStyle w:val="Heading2"/>
      </w:pPr>
      <w:r>
        <w:t>6.5 Training and change management</w:t>
      </w:r>
    </w:p>
    <w:p>
      <w:pPr>
        <w:spacing w:before="120" w:after="240" w:line="276" w:lineRule="auto"/>
      </w:pPr>
      <w:r>
        <w:t>Training is not optional. SMBs benefit from short, role based learning sessions paired with immediate application in live workflows. Identify champions in operations, finance, and customer support. Create simple templates for prompting, review checklists, and escalation paths. BCG research emphasizes that many scaling challenges are rooted in people and process, not only technology. SMBs should plan adoption as a workforce enablement program.</w:t>
      </w:r>
    </w:p>
    <w:p>
      <w:pPr>
        <w:pStyle w:val="Heading2"/>
      </w:pPr>
      <w:r>
        <w:t>6.6 A practical roadmap</w:t>
      </w:r>
    </w:p>
    <w:p>
      <w:pPr>
        <w:spacing w:before="120" w:after="120" w:line="276" w:lineRule="auto"/>
      </w:pPr>
      <w:r>
        <w:t>Table 2 provides a phased roadmap that reflects typical SMB constraints and focuses on measurable outcomes.</w:t>
      </w:r>
    </w:p>
    <w:p>
      <w:pPr>
        <w:pStyle w:val="Heading3"/>
      </w:pPr>
      <w:r>
        <w:t>Table 2. Phased roadmap for SMB AI adoption</w:t>
      </w:r>
    </w:p>
    <w:tbl>
      <w:tblPr>
        <w:tblW w:type="auto" w:w="0"/>
        <w:tblLook w:firstColumn="1" w:firstRow="1" w:lastColumn="0" w:lastRow="0" w:noHBand="0" w:noVBand="1" w:val="04A0"/>
      </w:tblPr>
      <w:tblGrid>
        <w:gridCol w:w="2340"/>
        <w:gridCol w:w="2340"/>
        <w:gridCol w:w="2340"/>
        <w:gridCol w:w="2340"/>
      </w:tblGrid>
      <w:tr>
        <w:tc>
          <w:tcPr>
            <w:tcW w:type="dxa" w:w="2340"/>
          </w:tcPr>
          <w:p>
            <w:r>
              <w:t>Phase</w:t>
            </w:r>
          </w:p>
        </w:tc>
        <w:tc>
          <w:tcPr>
            <w:tcW w:type="dxa" w:w="2340"/>
          </w:tcPr>
          <w:p>
            <w:r>
              <w:t>Timeframe</w:t>
            </w:r>
          </w:p>
        </w:tc>
        <w:tc>
          <w:tcPr>
            <w:tcW w:type="dxa" w:w="2340"/>
          </w:tcPr>
          <w:p>
            <w:r>
              <w:t>Primary activities</w:t>
            </w:r>
          </w:p>
        </w:tc>
        <w:tc>
          <w:tcPr>
            <w:tcW w:type="dxa" w:w="2340"/>
          </w:tcPr>
          <w:p>
            <w:r>
              <w:t>Success indicators</w:t>
            </w:r>
          </w:p>
        </w:tc>
      </w:tr>
      <w:tr>
        <w:tc>
          <w:tcPr>
            <w:tcW w:type="dxa" w:w="2340"/>
          </w:tcPr>
          <w:p>
            <w:r>
              <w:t>Phase 1</w:t>
            </w:r>
          </w:p>
        </w:tc>
        <w:tc>
          <w:tcPr>
            <w:tcW w:type="dxa" w:w="2340"/>
          </w:tcPr>
          <w:p>
            <w:r>
              <w:t>First 30 days</w:t>
            </w:r>
          </w:p>
        </w:tc>
        <w:tc>
          <w:tcPr>
            <w:tcW w:type="dxa" w:w="2340"/>
          </w:tcPr>
          <w:p>
            <w:r>
              <w:t>Readiness assessment, data cleanup plan, select two use cases, define metrics, establish governance rules</w:t>
            </w:r>
          </w:p>
        </w:tc>
        <w:tc>
          <w:tcPr>
            <w:tcW w:type="dxa" w:w="2340"/>
          </w:tcPr>
          <w:p>
            <w:r>
              <w:t>Baseline metrics recorded, ownership assigned, data issues prioritized, governance rules communicated</w:t>
            </w:r>
          </w:p>
        </w:tc>
      </w:tr>
      <w:tr>
        <w:tc>
          <w:tcPr>
            <w:tcW w:type="dxa" w:w="2340"/>
          </w:tcPr>
          <w:p>
            <w:r>
              <w:t>Phase 2</w:t>
            </w:r>
          </w:p>
        </w:tc>
        <w:tc>
          <w:tcPr>
            <w:tcW w:type="dxa" w:w="2340"/>
          </w:tcPr>
          <w:p>
            <w:r>
              <w:t>Days 31 to 90</w:t>
            </w:r>
          </w:p>
        </w:tc>
        <w:tc>
          <w:tcPr>
            <w:tcW w:type="dxa" w:w="2340"/>
          </w:tcPr>
          <w:p>
            <w:r>
              <w:t>Implement two use cases in production workflows, train users, add monitoring and feedback loops, refine prompts and rules</w:t>
            </w:r>
          </w:p>
        </w:tc>
        <w:tc>
          <w:tcPr>
            <w:tcW w:type="dxa" w:w="2340"/>
          </w:tcPr>
          <w:p>
            <w:r>
              <w:t>Users adopt in daily work, error rates tracked, cycle time improves, support tickets decrease or stabilize</w:t>
            </w:r>
          </w:p>
        </w:tc>
      </w:tr>
      <w:tr>
        <w:tc>
          <w:tcPr>
            <w:tcW w:type="dxa" w:w="2340"/>
          </w:tcPr>
          <w:p>
            <w:r>
              <w:t>Phase 3</w:t>
            </w:r>
          </w:p>
        </w:tc>
        <w:tc>
          <w:tcPr>
            <w:tcW w:type="dxa" w:w="2340"/>
          </w:tcPr>
          <w:p>
            <w:r>
              <w:t>Months 4 to 6</w:t>
            </w:r>
          </w:p>
        </w:tc>
        <w:tc>
          <w:tcPr>
            <w:tcW w:type="dxa" w:w="2340"/>
          </w:tcPr>
          <w:p>
            <w:r>
              <w:t>Expand to three to five workflows, integrate AI into approvals and exception handling, formalize policies, improve reporting</w:t>
            </w:r>
          </w:p>
        </w:tc>
        <w:tc>
          <w:tcPr>
            <w:tcW w:type="dxa" w:w="2340"/>
          </w:tcPr>
          <w:p>
            <w:r>
              <w:t>Adoption depth increases, measurable operational gains, stable controls, reduced manual rework</w:t>
            </w:r>
          </w:p>
        </w:tc>
      </w:tr>
      <w:tr>
        <w:tc>
          <w:tcPr>
            <w:tcW w:type="dxa" w:w="2340"/>
          </w:tcPr>
          <w:p>
            <w:r>
              <w:t>Phase 4</w:t>
            </w:r>
          </w:p>
        </w:tc>
        <w:tc>
          <w:tcPr>
            <w:tcW w:type="dxa" w:w="2340"/>
          </w:tcPr>
          <w:p>
            <w:r>
              <w:t>Months 7 to 12</w:t>
            </w:r>
          </w:p>
        </w:tc>
        <w:tc>
          <w:tcPr>
            <w:tcW w:type="dxa" w:w="2340"/>
          </w:tcPr>
          <w:p>
            <w:r>
              <w:t>Scale across functions, standardize playbooks, implement continuous improvement, evaluate new models and vendor options</w:t>
            </w:r>
          </w:p>
        </w:tc>
        <w:tc>
          <w:tcPr>
            <w:tcW w:type="dxa" w:w="2340"/>
          </w:tcPr>
          <w:p>
            <w:r>
              <w:t>Portfolio value realized, repeatable deployment process, improved forecasting and decision quality, sustained training cadence</w:t>
            </w:r>
          </w:p>
        </w:tc>
      </w:tr>
    </w:tbl>
    <w:p/>
    <w:p>
      <w:pPr>
        <w:pStyle w:val="Heading1"/>
      </w:pPr>
      <w:r>
        <w:t>7. Implications for Practitioners and Platform Providers</w:t>
      </w:r>
    </w:p>
    <w:p>
      <w:pPr>
        <w:spacing w:before="120" w:after="240" w:line="276" w:lineRule="auto"/>
      </w:pPr>
      <w:r>
        <w:t>Platform providers can materially reduce adoption friction by embedding AI readiness into the product. This includes enforcing data validation, providing audit trails, enabling role based access, and offering workflow telemetry that connects AI usage to outcomes. For Torchline, the implication is to treat AI capabilities as part of an integrated operating system: the system of record provides the data foundation, workflow automation provides the action layer, and AI provides augmentation through recommendations, summaries, and exception detection.</w:t>
      </w:r>
    </w:p>
    <w:p>
      <w:pPr>
        <w:spacing w:before="0" w:after="240" w:line="276" w:lineRule="auto"/>
      </w:pPr>
      <w:r>
        <w:t>Providers can also support adoption by offering industry templates, safe default configurations, and an education hub that teaches users how to apply AI in real workflows. In practice, adoption improves when the product makes the right behavior easy: clear prompts, structured inputs, and built in review steps.</w:t>
      </w:r>
    </w:p>
    <w:p>
      <w:pPr>
        <w:pStyle w:val="Heading1"/>
      </w:pPr>
      <w:r>
        <w:t>8. Limitations</w:t>
      </w:r>
    </w:p>
    <w:p>
      <w:pPr>
        <w:spacing w:before="120" w:after="240" w:line="276" w:lineRule="auto"/>
      </w:pPr>
      <w:r>
        <w:t>This paper synthesizes available evidence and proposes a research design rather than reporting results from a single new field study. Survey findings may vary by region, industry, and firm size. Additionally, generative AI capabilities and vendor offerings evolve rapidly, so implementation guidance should be revisited periodically.</w:t>
      </w:r>
    </w:p>
    <w:p>
      <w:pPr>
        <w:pStyle w:val="Heading1"/>
      </w:pPr>
      <w:r>
        <w:t>9. Conclusion</w:t>
      </w:r>
    </w:p>
    <w:p>
      <w:pPr>
        <w:spacing w:before="120" w:after="240" w:line="276" w:lineRule="auto"/>
      </w:pPr>
      <w:r>
        <w:t>AI can deliver meaningful benefits for SMBs, but successful adoption requires more than access to tools. The strongest predictors of sustained value are clear workflow ownership, reliable data foundations, explicit governance, and practical training. Using Technology Organization Environment and Diffusion of Innovations lenses helps SMBs diagnose readiness and choose interventions that fit their context. For SMB focused platforms, the opportunity is to operationalize these lessons into product defaults and implementation playbooks that make adoption safe, measurable, and repeatable.</w:t>
      </w:r>
    </w:p>
    <w:p>
      <w:pPr>
        <w:pStyle w:val="Heading1"/>
      </w:pPr>
      <w:r>
        <w:t>References</w:t>
      </w:r>
    </w:p>
    <w:p>
      <w:pPr>
        <w:spacing w:before="0" w:after="0" w:line="276" w:lineRule="auto"/>
      </w:pPr>
      <w:r>
        <w:t>Boston Consulting Group. (2024). AI Adoption in 2024: 74 percent of companies struggle to achieve and scale value. Press release, October 24, 2024.</w:t>
      </w:r>
    </w:p>
    <w:p>
      <w:pPr>
        <w:spacing w:before="0" w:after="0" w:line="276" w:lineRule="auto"/>
      </w:pPr>
      <w:r>
        <w:t>McKinsey and Company. (2024). The state of AI in early 2024: Gen AI adoption spikes and starts to generate value. Survey report, May 30, 2024.</w:t>
      </w:r>
    </w:p>
    <w:p>
      <w:pPr>
        <w:spacing w:before="0" w:after="0" w:line="276" w:lineRule="auto"/>
      </w:pPr>
      <w:r>
        <w:t>Microsoft News Center Canada. (2024). AI and SMBs: An analysis of their adoption and impact. April 19, 2024.</w:t>
      </w:r>
    </w:p>
    <w:p>
      <w:pPr>
        <w:spacing w:before="0" w:after="0" w:line="276" w:lineRule="auto"/>
      </w:pPr>
      <w:r>
        <w:t>Organisation for Economic Cooperation and Development. (2025). The adoption of artificial intelligence in firms. May 2, 2025.</w:t>
      </w:r>
    </w:p>
    <w:p>
      <w:pPr>
        <w:spacing w:before="0" w:after="0" w:line="276" w:lineRule="auto"/>
      </w:pPr>
      <w:r>
        <w:t>US Chamber of Commerce. (2025). Empowering Small Business: The impact of technology on U.S. small business. August 2025.</w:t>
      </w:r>
    </w:p>
    <w:p/>
    <w:p>
      <w:pPr>
        <w:pStyle w:val="Heading1"/>
      </w:pPr>
      <w:r>
        <w:t>Appendix A. Sample survey items</w:t>
      </w:r>
    </w:p>
    <w:p>
      <w:pPr>
        <w:spacing w:before="0" w:after="0" w:line="276" w:lineRule="auto"/>
      </w:pPr>
      <w:r>
        <w:t>1. Data readiness: Our customer, product, and inventory data is complete and consistently maintained.</w:t>
      </w:r>
    </w:p>
    <w:p>
      <w:pPr>
        <w:spacing w:before="0" w:after="0" w:line="276" w:lineRule="auto"/>
      </w:pPr>
      <w:r>
        <w:t>2. Process maturity: Core operational workflows have clear owners and measurable cycle times.</w:t>
      </w:r>
    </w:p>
    <w:p>
      <w:pPr>
        <w:spacing w:before="0" w:after="0" w:line="276" w:lineRule="auto"/>
      </w:pPr>
      <w:r>
        <w:t>3. Integration maturity: Key systems are integrated such that data does not need to be re entered manually.</w:t>
      </w:r>
    </w:p>
    <w:p>
      <w:pPr>
        <w:spacing w:before="0" w:after="0" w:line="276" w:lineRule="auto"/>
      </w:pPr>
      <w:r>
        <w:t>4. Security and governance: We have clear guidance on what data can be used with AI tools and how outputs are reviewed.</w:t>
      </w:r>
    </w:p>
    <w:p>
      <w:pPr>
        <w:spacing w:before="0" w:after="0" w:line="276" w:lineRule="auto"/>
      </w:pPr>
      <w:r>
        <w:t>5. Skills: Employees have received practical training on AI use in their roles.</w:t>
      </w:r>
    </w:p>
    <w:p>
      <w:pPr>
        <w:spacing w:before="0" w:after="0" w:line="276" w:lineRule="auto"/>
      </w:pPr>
      <w:r>
        <w:t>6. Perceived relative advantage: AI use in our business delivers measurable improvement in efficiency or quality.</w:t>
      </w:r>
    </w:p>
    <w:p>
      <w:pPr>
        <w:spacing w:before="0" w:after="0" w:line="276" w:lineRule="auto"/>
      </w:pPr>
      <w:r>
        <w:t>7. Adoption depth: AI outputs are embedded in core workflows, approvals, or exception management.</w:t>
      </w:r>
    </w:p>
    <w:p/>
    <w:p>
      <w:pPr>
        <w:pStyle w:val="Heading1"/>
      </w:pPr>
      <w:r>
        <w:t>Appendix B. Interview guide</w:t>
      </w:r>
    </w:p>
    <w:p>
      <w:pPr>
        <w:spacing w:before="0" w:after="0" w:line="276" w:lineRule="auto"/>
      </w:pPr>
      <w:r>
        <w:t>1. Which business processes are most constrained today, and how are decisions currently made?</w:t>
      </w:r>
    </w:p>
    <w:p>
      <w:pPr>
        <w:spacing w:before="0" w:after="0" w:line="276" w:lineRule="auto"/>
      </w:pPr>
      <w:r>
        <w:t>2. What AI tools are being used, by whom, and for which tasks?</w:t>
      </w:r>
    </w:p>
    <w:p>
      <w:pPr>
        <w:spacing w:before="0" w:after="0" w:line="276" w:lineRule="auto"/>
      </w:pPr>
      <w:r>
        <w:t>3. What concerns or risks have limited wider adoption?</w:t>
      </w:r>
    </w:p>
    <w:p>
      <w:pPr>
        <w:spacing w:before="0" w:after="0" w:line="276" w:lineRule="auto"/>
      </w:pPr>
      <w:r>
        <w:t>4. Which data quality or system fragmentation issues most often block progress?</w:t>
      </w:r>
    </w:p>
    <w:p>
      <w:pPr>
        <w:spacing w:before="0" w:after="0" w:line="276" w:lineRule="auto"/>
      </w:pPr>
      <w:r>
        <w:t>5. What training or change practices have helped adoption, and what has failed?</w:t>
      </w:r>
    </w:p>
    <w:p>
      <w:pPr>
        <w:spacing w:before="0" w:after="0" w:line="276" w:lineRule="auto"/>
      </w:pPr>
      <w:r>
        <w:t>6. How do you define success, and which metrics would persuade you to expand investment?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rchlineTitle">
    <w:name w:val="Torchline Title"/>
    <w:basedOn w:val="Title"/>
    <w:rPr>
      <w:rFonts w:ascii="Calibri" w:hAnsi="Calibri" w:eastAsia="Calibri"/>
      <w:b/>
      <w:sz w:val="48"/>
    </w:rPr>
  </w:style>
  <w:style w:type="paragraph" w:customStyle="1" w:styleId="TorchlineSubtitle">
    <w:name w:val="Torchline Subtitle"/>
    <w:basedOn w:val="Normal"/>
    <w:rPr>
      <w:rFonts w:ascii="Calibri" w:hAnsi="Calibri" w:eastAsia="Calibri"/>
      <w:i/>
      <w:sz w:val="28"/>
    </w:rPr>
  </w:style>
  <w:style w:type="paragraph" w:customStyle="1" w:styleId="TorchlineMeta">
    <w:name w:val="Torchline Meta"/>
    <w:basedOn w:val="Normal"/>
    <w:rPr>
      <w:rFonts w:ascii="Calibri" w:hAnsi="Calibri" w:eastAsia="Calibri"/>
      <w:b/>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