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Torchline Research Paper</w:t>
      </w:r>
    </w:p>
    <w:p>
      <w:pPr>
        <w:jc w:val="center"/>
      </w:pPr>
      <w:r>
        <w:rPr>
          <w:sz w:val="24"/>
        </w:rPr>
        <w:t>2024</w:t>
      </w:r>
    </w:p>
    <w:p/>
    <w:p>
      <w:pPr>
        <w:jc w:val="center"/>
      </w:pPr>
      <w:r>
        <w:rPr>
          <w:b/>
          <w:sz w:val="40"/>
        </w:rPr>
        <w:t>Building AI Ready Operations for Small and Mid Sized Businesses</w:t>
      </w:r>
    </w:p>
    <w:p>
      <w:pPr>
        <w:jc w:val="center"/>
      </w:pPr>
      <w:r>
        <w:rPr>
          <w:i/>
          <w:sz w:val="24"/>
        </w:rPr>
        <w:t>A Practical Data and Process Foundation for ERP Centered Digital Transformation</w:t>
      </w:r>
    </w:p>
    <w:p/>
    <w:p>
      <w:pPr>
        <w:jc w:val="center"/>
      </w:pPr>
      <w:r>
        <w:rPr>
          <w:sz w:val="24"/>
        </w:rPr>
        <w:t>Torchline Research Team</w:t>
      </w:r>
    </w:p>
    <w:p>
      <w:r>
        <w:br w:type="page"/>
      </w:r>
    </w:p>
    <w:p>
      <w:pPr>
        <w:pStyle w:val="Heading1"/>
      </w:pPr>
      <w:r>
        <w:t>Abstract</w:t>
      </w:r>
    </w:p>
    <w:p>
      <w:r>
        <w:t>Small and mid sized businesses are experimenting with artificial intelligence, but many efforts stall after early pilots. The most common blockers are not model accuracy or tools. They are data quality, process clarity, change readiness, and governance. This paper synthesizes practitioner frameworks and academic insights into an implementation playbook that can be executed by lean teams. We propose a four foundation model for AI readiness and provide a phased roadmap that connects everyday operational systems such as ERP, CRM, and finance to high value AI use cases. The goal is practical adoption that improves cycle time, cash flow, and service quality without creating fragile automation.</w:t>
      </w:r>
    </w:p>
    <w:p>
      <w:pPr>
        <w:pStyle w:val="Heading1"/>
      </w:pPr>
      <w:r>
        <w:t>Keywords</w:t>
      </w:r>
    </w:p>
    <w:p>
      <w:r>
        <w:t>artificial intelligence, small business, digital transformation, data readiness, operations, ERP, change management, governance</w:t>
      </w:r>
    </w:p>
    <w:p>
      <w:r>
        <w:br w:type="page"/>
      </w:r>
    </w:p>
    <w:p>
      <w:pPr>
        <w:pStyle w:val="Heading1"/>
      </w:pPr>
      <w:r>
        <w:t>1  Introduction</w:t>
      </w:r>
    </w:p>
    <w:p>
      <w:r>
        <w:t>Artificial intelligence is becoming accessible to small and mid sized businesses through modern software platforms. However, adoption remains uneven. Teams can access models and assistants quickly, yet sustained value requires dependable data, well defined processes, and a clear ownership model. Many organizations also face constraints that are more acute than in large enterprises, including limited technical capacity, informal workflows, and fragmented systems.</w:t>
      </w:r>
    </w:p>
    <w:p>
      <w:r>
        <w:t>This paper focuses on operational adoption. It treats AI as a capability layer that sits on top of core business systems. In this view, the path to results is not to chase tools, but to prepare an operations stack that can support automation, prediction, and decision support.</w:t>
      </w:r>
    </w:p>
    <w:p>
      <w:pPr>
        <w:pStyle w:val="Heading1"/>
      </w:pPr>
      <w:r>
        <w:t>2  What AI Adoption Looks Like in Practice</w:t>
      </w:r>
    </w:p>
    <w:p>
      <w:r>
        <w:t>In small and mid sized environments, adoption commonly starts with productivity tools such as drafting, summarization, and search. The next step is operational assistance: extracting fields from documents, generating customer responses, flagging exceptions, and routing work. The most advanced stage is decision support and optimization, where AI informs purchasing, production planning, and cash management.</w:t>
      </w:r>
    </w:p>
    <w:p>
      <w:r>
        <w:t>Progress between stages depends on whether the business can provide trusted inputs, record outcomes, and adjust processes. A pilot that cannot be monitored or improved often becomes shelfware.</w:t>
      </w:r>
    </w:p>
    <w:p>
      <w:pPr>
        <w:pStyle w:val="Heading1"/>
      </w:pPr>
      <w:r>
        <w:t>3  Four Foundations of AI Ready Operations</w:t>
      </w:r>
    </w:p>
    <w:p>
      <w:r>
        <w:t>We propose four foundations that jointly determine readiness.</w:t>
      </w:r>
    </w:p>
    <w:p>
      <w:r>
        <w:t>Foundation 1  Data and semantics. A shared definition of customers, items, suppliers, bills of materials, and chart of accounts. Data must be complete, timely, and consistent across systems.</w:t>
      </w:r>
    </w:p>
    <w:p>
      <w:r>
        <w:t>Foundation 2  Process and control. Workflows must be explicit enough to automate. Controls define who can approve, change, and override.</w:t>
      </w:r>
    </w:p>
    <w:p>
      <w:r>
        <w:t>Foundation 3  People and change. Adoption requires training, role clarity, and feedback loops. AI should reduce friction for frontline users.</w:t>
      </w:r>
    </w:p>
    <w:p>
      <w:r>
        <w:t>Foundation 4  Governance and risk. Policies for access, privacy, model use, and auditability. Governance is lightweight but real, with an owner and cadence.</w:t>
      </w:r>
    </w:p>
    <w:p>
      <w:pPr>
        <w:pStyle w:val="Heading1"/>
      </w:pPr>
      <w:r>
        <w:t>4  Implementation Roadmap</w:t>
      </w:r>
    </w:p>
    <w:p>
      <w:r>
        <w:t>The roadmap below is designed for lean teams. Each phase produces value while strengthening foundations.</w:t>
      </w:r>
    </w:p>
    <w:p>
      <w:r>
        <w:t>Phase A  Baseline and prioritize. Select three to five use cases tied to measurable outcomes. Map required data sources and process touch points.</w:t>
      </w:r>
    </w:p>
    <w:p>
      <w:r>
        <w:t>Phase B  Stabilize the data layer. Establish master data ownership and quality checks. Create a small set of operational metrics that are trusted.</w:t>
      </w:r>
    </w:p>
    <w:p>
      <w:r>
        <w:t>Phase C  Automate assisted work. Deploy AI to draft, extract, and route tasks with human review. Capture outcomes to improve prompts and rules.</w:t>
      </w:r>
    </w:p>
    <w:p>
      <w:r>
        <w:t>Phase D  Expand to decision support. Introduce forecasts and exception detection. Add monitoring, thresholds, and clear escalation paths.</w:t>
      </w:r>
    </w:p>
    <w:p>
      <w:r>
        <w:t>Phase E  Scale safely. Document policies, retrain users, and review risk quarterly. Treat AI artifacts as product features with lifecycle management.</w:t>
      </w:r>
    </w:p>
    <w:p>
      <w:pPr>
        <w:pStyle w:val="Heading1"/>
      </w:pPr>
      <w:r>
        <w:t>5  Architecture Patterns for SMB Teams</w:t>
      </w:r>
    </w:p>
    <w:p>
      <w:r>
        <w:t>A practical architecture can be implemented without a large platform team.</w:t>
      </w:r>
    </w:p>
    <w:p>
      <w:r>
        <w:t>Pattern 1  System of record first. ERP and finance remain the source of truth. AI writes suggestions, not final postings, unless controls are strong.</w:t>
      </w:r>
    </w:p>
    <w:p>
      <w:r>
        <w:t>Pattern 2  Event driven exceptions. Instead of trying to automate every step, focus on exceptions: late orders, margin drops, inventory risk, and invoice disputes.</w:t>
      </w:r>
    </w:p>
    <w:p>
      <w:r>
        <w:t>Pattern 3  Human in the loop by design. Provide review screens that show source evidence and allow one click acceptance or correction.</w:t>
      </w:r>
    </w:p>
    <w:p>
      <w:r>
        <w:t>Pattern 4  Observability as a feature. Track inputs, outputs, confidence signals, and downstream results. Logging is essential for improvement and trust.</w:t>
      </w:r>
    </w:p>
    <w:p>
      <w:pPr>
        <w:pStyle w:val="Heading1"/>
      </w:pPr>
      <w:r>
        <w:t>6  Measurement and Key Metrics</w:t>
      </w:r>
    </w:p>
    <w:p>
      <w:r>
        <w:t>Adoption should be evaluated on both outcomes and operational health.</w:t>
      </w:r>
    </w:p>
    <w:p>
      <w:r>
        <w:t>Outcome metrics include order cycle time, forecast error, inventory turns, on time delivery, days sales outstanding, and support resolution time.</w:t>
      </w:r>
    </w:p>
    <w:p>
      <w:r>
        <w:t>Health metrics include data completeness, exception rate, model drift signals, user acceptance rate, and override frequency.</w:t>
      </w:r>
    </w:p>
    <w:p>
      <w:r>
        <w:t>A simple weekly review that looks at these measures can sustain momentum and prevent silent failure.</w:t>
      </w:r>
    </w:p>
    <w:p>
      <w:pPr>
        <w:pStyle w:val="Heading1"/>
      </w:pPr>
      <w:r>
        <w:t>7  Risks and Mitigations</w:t>
      </w:r>
    </w:p>
    <w:p>
      <w:r>
        <w:t>Small and mid sized businesses face risks that can be managed with practical controls.</w:t>
      </w:r>
    </w:p>
    <w:p>
      <w:r>
        <w:t>Risk 1  Sensitive data exposure. Mitigation includes access controls, redaction, and clear rules for what can be sent to external services.</w:t>
      </w:r>
    </w:p>
    <w:p>
      <w:r>
        <w:t>Risk 2  Hallucinated outputs. Mitigation includes grounding on internal data, citations inside the user interface, and mandatory review for high impact actions.</w:t>
      </w:r>
    </w:p>
    <w:p>
      <w:r>
        <w:t>Risk 3  Automation that breaks process. Mitigation includes staged rollout, guardrails, and clear ownership for exceptions.</w:t>
      </w:r>
    </w:p>
    <w:p>
      <w:r>
        <w:t>Risk 4  Vendor lock in. Mitigation includes portable data models, export routines, and separation between data storage and model execution.</w:t>
      </w:r>
    </w:p>
    <w:p>
      <w:pPr>
        <w:pStyle w:val="Heading1"/>
      </w:pPr>
      <w:r>
        <w:t>8  Conclusion</w:t>
      </w:r>
    </w:p>
    <w:p>
      <w:r>
        <w:t>AI adoption in small and mid sized businesses becomes durable when it is treated as an operations program, not a tool trial. A strong data foundation, explicit processes, user centered change management, and lightweight governance enable a steady progression from assistance to decision support. Organizations that follow a phased roadmap can build trust, reduce manual effort, and improve financial outcomes while keeping risk under control.</w:t>
      </w:r>
    </w:p>
    <w:p>
      <w:r>
        <w:br w:type="page"/>
      </w:r>
    </w:p>
    <w:p>
      <w:pPr>
        <w:pStyle w:val="Heading1"/>
      </w:pPr>
      <w:r>
        <w:t>References</w:t>
      </w:r>
    </w:p>
    <w:p>
      <w:r>
        <w:t>National Institute of Standards and Technology. AI Risk Management Framework. 2023.</w:t>
      </w:r>
    </w:p>
    <w:p>
      <w:r>
        <w:t>Organisation for Economic Co operation and Development. OECD Principles on Artificial Intelligence. 2019.</w:t>
      </w:r>
    </w:p>
    <w:p>
      <w:r>
        <w:t>International Organization for Standardization and International Electrotechnical Commission. ISO IEC 42001 Artificial intelligence Management system. 2023.</w:t>
      </w:r>
    </w:p>
    <w:p>
      <w:r>
        <w:t>Microsoft. Responsible AI Standard. 2022.</w:t>
      </w:r>
    </w:p>
    <w:p>
      <w:r>
        <w:t>World Economic Forum. AI Governance Toolkit for Boards. 2023.</w:t>
      </w:r>
    </w:p>
    <w:p>
      <w:r>
        <w:t>Davenport, Thomas and Ronanki, Rajeev. Artificial Intelligence for the Real World. Harvard Business Review. 2018.</w:t>
      </w:r>
    </w:p>
    <w:p>
      <w:r>
        <w:br w:type="page"/>
      </w:r>
    </w:p>
    <w:p>
      <w:pPr>
        <w:pStyle w:val="Heading1"/>
      </w:pPr>
      <w:r>
        <w:t>Appendix  A  AI Readiness Checklist</w:t>
      </w:r>
    </w:p>
    <w:tbl>
      <w:tblPr>
        <w:tblStyle w:val="LightList-Accent1"/>
        <w:tblW w:type="auto" w:w="0"/>
        <w:jc w:val="center"/>
        <w:tblLook w:firstColumn="1" w:firstRow="1" w:lastColumn="0" w:lastRow="0" w:noHBand="0" w:noVBand="1" w:val="04A0"/>
      </w:tblPr>
      <w:tblGrid>
        <w:gridCol w:w="4680"/>
        <w:gridCol w:w="4680"/>
      </w:tblGrid>
      <w:tr>
        <w:tc>
          <w:tcPr>
            <w:tcW w:type="dxa" w:w="4680"/>
          </w:tcPr>
          <w:p>
            <w:r>
              <w:t>Area</w:t>
            </w:r>
          </w:p>
        </w:tc>
        <w:tc>
          <w:tcPr>
            <w:tcW w:type="dxa" w:w="4680"/>
          </w:tcPr>
          <w:p>
            <w:r>
              <w:t>Check</w:t>
            </w:r>
          </w:p>
        </w:tc>
      </w:tr>
      <w:tr>
        <w:tc>
          <w:tcPr>
            <w:tcW w:type="dxa" w:w="4680"/>
          </w:tcPr>
          <w:p>
            <w:r>
              <w:t>Data</w:t>
            </w:r>
          </w:p>
        </w:tc>
        <w:tc>
          <w:tcPr>
            <w:tcW w:type="dxa" w:w="4680"/>
          </w:tcPr>
          <w:p>
            <w:r>
              <w:t>Customer, item, supplier, and finance definitions are consistent across systems</w:t>
            </w:r>
          </w:p>
        </w:tc>
      </w:tr>
      <w:tr>
        <w:tc>
          <w:tcPr>
            <w:tcW w:type="dxa" w:w="4680"/>
          </w:tcPr>
          <w:p>
            <w:r>
              <w:t>Data</w:t>
            </w:r>
          </w:p>
        </w:tc>
        <w:tc>
          <w:tcPr>
            <w:tcW w:type="dxa" w:w="4680"/>
          </w:tcPr>
          <w:p>
            <w:r>
              <w:t>Key fields are complete for the top revenue products and top customers</w:t>
            </w:r>
          </w:p>
        </w:tc>
      </w:tr>
      <w:tr>
        <w:tc>
          <w:tcPr>
            <w:tcW w:type="dxa" w:w="4680"/>
          </w:tcPr>
          <w:p>
            <w:r>
              <w:t>Process</w:t>
            </w:r>
          </w:p>
        </w:tc>
        <w:tc>
          <w:tcPr>
            <w:tcW w:type="dxa" w:w="4680"/>
          </w:tcPr>
          <w:p>
            <w:r>
              <w:t>Critical workflows are documented for order to cash and procure to pay</w:t>
            </w:r>
          </w:p>
        </w:tc>
      </w:tr>
      <w:tr>
        <w:tc>
          <w:tcPr>
            <w:tcW w:type="dxa" w:w="4680"/>
          </w:tcPr>
          <w:p>
            <w:r>
              <w:t>Process</w:t>
            </w:r>
          </w:p>
        </w:tc>
        <w:tc>
          <w:tcPr>
            <w:tcW w:type="dxa" w:w="4680"/>
          </w:tcPr>
          <w:p>
            <w:r>
              <w:t>Approval rules exist for pricing, purchasing, and journal entries</w:t>
            </w:r>
          </w:p>
        </w:tc>
      </w:tr>
      <w:tr>
        <w:tc>
          <w:tcPr>
            <w:tcW w:type="dxa" w:w="4680"/>
          </w:tcPr>
          <w:p>
            <w:r>
              <w:t>People</w:t>
            </w:r>
          </w:p>
        </w:tc>
        <w:tc>
          <w:tcPr>
            <w:tcW w:type="dxa" w:w="4680"/>
          </w:tcPr>
          <w:p>
            <w:r>
              <w:t>Users have training and a channel to report issues and request improvements</w:t>
            </w:r>
          </w:p>
        </w:tc>
      </w:tr>
      <w:tr>
        <w:tc>
          <w:tcPr>
            <w:tcW w:type="dxa" w:w="4680"/>
          </w:tcPr>
          <w:p>
            <w:r>
              <w:t>People</w:t>
            </w:r>
          </w:p>
        </w:tc>
        <w:tc>
          <w:tcPr>
            <w:tcW w:type="dxa" w:w="4680"/>
          </w:tcPr>
          <w:p>
            <w:r>
              <w:t>A product owner is assigned for AI enabled workflows</w:t>
            </w:r>
          </w:p>
        </w:tc>
      </w:tr>
      <w:tr>
        <w:tc>
          <w:tcPr>
            <w:tcW w:type="dxa" w:w="4680"/>
          </w:tcPr>
          <w:p>
            <w:r>
              <w:t>Governance</w:t>
            </w:r>
          </w:p>
        </w:tc>
        <w:tc>
          <w:tcPr>
            <w:tcW w:type="dxa" w:w="4680"/>
          </w:tcPr>
          <w:p>
            <w:r>
              <w:t>Access policy defines who can view and use sensitive data in AI tools</w:t>
            </w:r>
          </w:p>
        </w:tc>
      </w:tr>
      <w:tr>
        <w:tc>
          <w:tcPr>
            <w:tcW w:type="dxa" w:w="4680"/>
          </w:tcPr>
          <w:p>
            <w:r>
              <w:t>Governance</w:t>
            </w:r>
          </w:p>
        </w:tc>
        <w:tc>
          <w:tcPr>
            <w:tcW w:type="dxa" w:w="4680"/>
          </w:tcPr>
          <w:p>
            <w:r>
              <w:t>Logging exists for AI suggestions, user actions, and downstream postings</w:t>
            </w:r>
          </w:p>
        </w:tc>
      </w:tr>
      <w:tr>
        <w:tc>
          <w:tcPr>
            <w:tcW w:type="dxa" w:w="4680"/>
          </w:tcPr>
          <w:p>
            <w:r>
              <w:t>Governance</w:t>
            </w:r>
          </w:p>
        </w:tc>
        <w:tc>
          <w:tcPr>
            <w:tcW w:type="dxa" w:w="4680"/>
          </w:tcPr>
          <w:p>
            <w:r>
              <w:t>A monthly review evaluates accuracy, exceptions, and risk incidents</w:t>
            </w:r>
          </w:p>
        </w:tc>
      </w:tr>
    </w:tbl>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