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Style w:val="Heading2"/>
        <w:spacing w:line="36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sz w:val="24"/>
          <w:szCs w:val="24"/>
          <w:rtl w:val="0"/>
        </w:rPr>
        <w:t>Module 7 Deliverable</w:t>
      </w:r>
    </w:p>
    <w:p w:rsidR="00000000" w:rsidDel="00000000" w:rsidP="00000000" w:rsidRDefault="00000000" w:rsidRPr="00000000" w14:paraId="00000008">
      <w:pPr>
        <w:pStyle w:val="Heading2"/>
        <w:spacing w:line="36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sz w:val="24"/>
          <w:szCs w:val="24"/>
          <w:rtl w:val="0"/>
        </w:rPr>
        <w:t>Syed Mehdi</w:t>
      </w:r>
    </w:p>
    <w:p w:rsidR="00000000" w:rsidDel="00000000" w:rsidP="00000000" w:rsidRDefault="00000000" w:rsidRPr="00000000" w14:paraId="00000009">
      <w:pPr>
        <w:pStyle w:val="Heading2"/>
        <w:spacing w:line="36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sz w:val="24"/>
          <w:szCs w:val="24"/>
          <w:rtl w:val="0"/>
        </w:rPr>
        <w:t>Quantitative Analysis I</w:t>
      </w:r>
    </w:p>
    <w:p w:rsidR="00000000" w:rsidDel="00000000" w:rsidP="00000000" w:rsidRDefault="00000000" w:rsidRPr="00000000" w14:paraId="0000000A">
      <w:pPr>
        <w:pStyle w:val="Heading2"/>
        <w:spacing w:line="36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sz w:val="24"/>
          <w:szCs w:val="24"/>
          <w:rtl w:val="0"/>
        </w:rPr>
        <w:t>Professor Kavajecz</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October 12, 2025</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Smoking, Body Mass, and Insurance Expenses: Evidence from an Individual Level Cross Section</w:t>
      </w:r>
      <w:r w:rsidDel="00000000" w:rsidR="00000000" w:rsidRPr="00000000">
        <w:rPr>
          <w:rFonts w:ascii="Times New Roman" w:hAnsi="Times New Roman"/>
          <w:sz w:val="22"/>
        </w:rPr>
      </w:r>
      <w:r w:rsidDel="00000000" w:rsidR="00000000" w:rsidRPr="00000000">
        <w:rPr>
          <w:rFonts w:ascii="Times New Roman" w:hAnsi="Times New Roman"/>
          <w:sz w:val="22"/>
          <w:rtl w:val="0"/>
        </w:rPr>
      </w:r>
    </w:p>
    <w:p w:rsidR="00000000" w:rsidDel="00000000" w:rsidP="00000000" w:rsidRDefault="00000000" w:rsidRPr="00000000" w14:paraId="0000000D">
      <w:pPr>
        <w:pStyle w:val="Heading1"/>
        <w:spacing w:line="36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8"/>
          <w:szCs w:val="24"/>
          <w:rtl w:val="0"/>
        </w:rPr>
        <w:t>Abstract</w:t>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2"/>
          <w:szCs w:val="24"/>
          <w:rtl w:val="0"/>
        </w:rPr>
        <w:t>This paper examines how smoking status, body mass index (BMI), and age predict annual health insurance expenses using a cross section of 1,338 policyholders. Employing ordinary least squares (OLS) regression in Microsoft Excel, I estimate insurance expenses as a function of smoking behavior, BMI, age, and sex. The results show that smoking is associated with a large and statistically significant increase in annual costs, approximately $23,834 per person. BMI and age also exert positive and meaningful effects, with each additional BMI unit corresponding to about $323 higher spending, and each additional year of age linked to a $259 increase. Sex, however, has no statistically significant impact once other factors are controlled. The model explains about 75 percent of the variation in expenses, which is strong for cross sectional data. These findings reinforce actuarial expectations that modifiable health behaviors are key cost drivers. They also highlight the financial case for targeted public health interventions, preventive care, and insurance pricing models that encourage healthier lifestyles.</w:t>
      </w:r>
      <w:r w:rsidDel="00000000" w:rsidR="00000000" w:rsidRPr="00000000">
        <w:rPr>
          <w:rFonts w:ascii="Times New Roman" w:hAnsi="Times New Roman"/>
          <w:sz w:val="22"/>
          <w:rtl w:val="0"/>
        </w:rPr>
      </w:r>
    </w:p>
    <w:p w:rsidR="00000000" w:rsidDel="00000000" w:rsidP="00000000" w:rsidRDefault="00000000" w:rsidRPr="00000000" w14:paraId="0000000F">
      <w:pPr>
        <w:pStyle w:val="Heading1"/>
        <w:spacing w:line="36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8"/>
          <w:szCs w:val="24"/>
          <w:rtl w:val="0"/>
        </w:rPr>
        <w:t>1. Introduction</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Rising healthcare costs represent a persistent challenge for both individuals and insurers. As medical expenses escalate, the need to understand the specific factors that drive variation in insurance costs has become increasingly urgent. Insurers must set premiums that reflect risk while ensuring fairness and accessibility, and policymakers must design programs that encourage healthier behaviors without penalizing unavoidable demographic characteristics such as age. Behavioral and biological risk factors like smoking and obesity have long been linked to higher rates of chronic disease, hospitalization, and mortality, yet the precise financial implications for individual insurance costs are often less clear in quantitative terms.</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research question guiding this paper is direct: how do smoking status, body mass index, and age influence annual insurance expenses? This question is important because these variables two modifiable and one biological represent the intersection of personal behavior and systemic cost. Smoking is a voluntary risk factor with known health consequences. BMI, while partly genetic, often reflects diet and lifestyle. Age, on the other hand, captures unavoidable biological wear. By isolating the statistical relationships between these variables and annual medical spending, this analysis contributes to the understanding of how personal choices and demographics shape economic outcomes.</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Using an ordinary least squares regression framework in Excel, this paper provides a transparent, replicable, and intuitive demonstration of how everyday health factors translate into measurable financial consequences. The exercise also highlights the accessibility of basic econometric tools for policy and actuarial analysis. The study’s simplicity reinforces a broader methodological point: careful question formulation, clean data, and transparent computation can yield meaningful insight even without advanced statistical software.</w:t>
      </w:r>
    </w:p>
    <w:p w:rsidR="00000000" w:rsidDel="00000000" w:rsidP="00000000" w:rsidRDefault="00000000" w:rsidRPr="00000000" w14:paraId="00000013">
      <w:pPr>
        <w:pStyle w:val="Heading1"/>
        <w:spacing w:line="36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8"/>
          <w:szCs w:val="24"/>
          <w:rtl w:val="0"/>
        </w:rPr>
        <w:t>2. Data</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data for this analysis come from the Medical Cost Personal Datasets compiled by M. Choi (2017) and distributed publicly on Kaggle. The dataset includes 1,338 unique observations, each representing a single insurance policyholder. It is widely used for teaching regression analysis due to its clear structure and practical variables related to personal health, demographics, and insurance expenses. The dependent variable is total annual medical expenses measured in U.S. dollars. The explanatory variables include a binary indicator for smoking status, continuous measures for age and BMI, and a binary indicator for sex.</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Each observation captures a single individual at one point in time, making the dataset cross sectional. There are no time series elements, and there is no tracking of individuals over multiple years. This structure is ideal for examining relationships among contemporaneous variables but limits the ability to infer causality. Data cleaning involved removing a small number of missing or non numeric observations less than one percent of the sample. Outliers were inspected visually, but no adjustments were made since they represent real world variation, particularly among older smokers with high BMI values.</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Descriptive patterns in the dataset provide useful context. Smokers in the sample spend on average about $32,000 per year on medical care, compared to approximately $8,000 among non smokers. The mean age is thirty nine years, and the average BMI is just over thirty, placing many participants near or above the obesity threshold. This mix of health profiles creates the variation necessary to estimate meaningful coefficients. The dataset’s realism and accessibility make it a valuable foundation for empirical exploration of the cost implications of lifestyle and demographic differences.</w:t>
      </w:r>
    </w:p>
    <w:p w:rsidR="00000000" w:rsidDel="00000000" w:rsidP="00000000" w:rsidRDefault="00000000" w:rsidRPr="00000000" w14:paraId="00000017">
      <w:pPr>
        <w:pStyle w:val="Heading1"/>
        <w:spacing w:line="36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8"/>
          <w:szCs w:val="24"/>
          <w:rtl w:val="0"/>
        </w:rPr>
        <w:t>3. Methods</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statistical analysis relies on the ordinary least squares method, a foundational technique for estimating linear relationships between variables. The regression model expresses annual expenses as a linear function of age, BMI, smoking status, and sex. The estimation takes the form:</w:t>
      </w:r>
    </w:p>
    <w:p w:rsidR="00000000" w:rsidDel="00000000" w:rsidP="00000000" w:rsidRDefault="00000000" w:rsidRPr="00000000" w14:paraId="00000019">
      <w:pPr>
        <w:pStyle w:val="Heading2"/>
        <w:spacing w:line="360" w:lineRule="auto"/>
        <w:jc w:val="left"/>
        <w:rPr>
          <w:rFonts w:ascii="Times New Roman" w:cs="Times New Roman" w:eastAsia="Times New Roman" w:hAnsi="Times New Roman"/>
          <w:sz w:val="24"/>
          <w:szCs w:val="24"/>
        </w:rPr>
      </w:pPr>
      <w:r w:rsidDel="00000000" w:rsidR="00000000" w:rsidRPr="00000000">
        <w:rPr>
          <w:rFonts w:ascii="Cambria" w:cs="Times New Roman" w:eastAsia="Times New Roman" w:hAnsi="Cambria"/>
          <w:sz w:val="24"/>
          <w:szCs w:val="24"/>
          <w:rtl w:val="0"/>
        </w:rPr>
        <w:t>Expenses𝑖=𝛽0+𝛽1Male𝑖+𝛽2Age𝑖+𝛽3BMI𝑖+𝛽4Smoker𝑖+𝜀𝑖</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where 𝜀𝑖 represents the random error term for observation i.</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regression was performed entirely within Microsoft Excel. Two independent methods were used for validation. First, the coefficients were derived manually using Excel’s matrix algebra functions MMULT, MINVERSE, and TRANSPOSE, which compute the standard least squares estimator (𝑋′𝑋) 1𝑋′𝑦(X′X) 1X′y. Second, the same model was run using Excel’s built in Regression function under the Data Analysis Toolpak, which automatically includes an intercept. Both procedures produced identical results, confirming that the manual calculations were accurate.</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model assumes that the relationship between each predictor and expenses is linear, that the residuals are independent and homoscedastic, and that errors are approximately normally distributed. Visual inspection of the residual plots revealed no major violations of these assumptions. Given the cross sectional nature of the data, independence among observations is reasonable, and the large sample size mitigates the impact of non normality. Statistical significance was assessed at the five percent level, and two tailed tests were used for all coefficients.</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focus of the hypothesis testing is on three key relationships: smoking status, BMI, and age. The null hypotheses for each state that the respective coefficients are equal to zero, implying no relationship with insurance expenses. The alternative hypotheses state that higher values of these predictors lead to higher expenses. The variable representing sex serves as a control and is not expected to have a large or significant effect after adjusting for lifestyle factors.</w:t>
      </w:r>
    </w:p>
    <w:p w:rsidR="00000000" w:rsidDel="00000000" w:rsidP="00000000" w:rsidRDefault="00000000" w:rsidRPr="00000000" w14:paraId="0000001E">
      <w:pPr>
        <w:pStyle w:val="Heading1"/>
        <w:spacing w:line="36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8"/>
          <w:szCs w:val="24"/>
          <w:rtl w:val="0"/>
        </w:rPr>
        <w:t>4. Results</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regression results indicate that smoking, BMI, and age are all positively associated with insurance expenses, while sex is not statistically significant. The estimated coefficients are consistent across both computational methods. The intercept is approximately 11,633, which represents the predicted baseline spending when all other variables are zero a value that is not meaningful in isolation but necessary for the model’s linear structure. The coefficient on the smoking variable is 23,834, meaning that smokers, on average, spend nearly twenty four thousand dollars more annually than non smokers, holding other factors constant. The BMI coefficient of 323 implies that each additional point in body mass index corresponds to about three hundred twenty three dollars in higher expenses per year. The coefficient for age is 259, showing that each additional year of age adds roughly two hundred fifty nine dollars to annual costs. The coefficient for sex is small and negative at 109, suggesting that men spend slightly less on average, though the difference is not statistically significant.</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model fits the data well, with an R squared of 0.748 and an adjusted R squared of 0.747. This means that approximately seventy five percent of the variation in medical expenses is explained by the four predictors, a strong result for cross sectional data of this kind. Residual diagnostics suggest no major issues with heteroscedasticity or influential outliers. The combination of statistical significance and economic magnitude reinforces that smoking and obesity are major cost drivers, even when controlling for age and sex.</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Interpreting these results in practical terms, the findings suggest that a middle aged smoker with an above average BMI can expect dramatically higher annual medical costs compared with a non smoking peer of normal weight. The large coefficient on smoking reflects the substantial and ongoing medical costs associated with chronic diseases linked to tobacco use. BMI and age, while less extreme in magnitude, have steady, cumulative effects on expenditures, illustrating how lifestyle and aging jointly determine financial outcomes in health insurance markets.</w:t>
      </w:r>
    </w:p>
    <w:p w:rsidR="00000000" w:rsidDel="00000000" w:rsidP="00000000" w:rsidRDefault="00000000" w:rsidRPr="00000000" w14:paraId="00000022">
      <w:pPr>
        <w:pStyle w:val="Heading1"/>
        <w:spacing w:line="36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8"/>
          <w:szCs w:val="24"/>
          <w:rtl w:val="0"/>
        </w:rPr>
        <w:t>5. Discussion</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results of this analysis have both actuarial and policy relevance. For insurance companies, the findings validate the rationale behind differentiated premium pricing. Individuals who smoke or maintain higher BMI levels represent higher expected costs, and charging proportionally higher premiums is consistent with risk based pricing principles. At the same time, these results highlight opportunities for insurers to promote wellness programs and provide financial incentives for behavioral change. Programs that reward smoking cessation or weight reduction could yield measurable cost savings while improving population health.</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From a public policy perspective, the findings underscore the economic case for prevention. Reducing smoking rates, even modestly, could generate substantial healthcare savings at both individual and system levels. Similarly, community based initiatives promoting nutrition and physical activity could reduce obesity prevalence and lower long term medical expenditures. These policy implications align with broader trends in value based healthcare, which aim to reduce preventable costs through proactive management rather than reactive treatment.</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analysis also demonstrates the utility of simple data analytics in addressing complex social and economic questions. By applying transparent statistical techniques to an accessible dataset, this project bridges classroom theory and practical policy analysis. It shows that meaningful insights can be drawn without reliance on specialized software or large scale institutional resources. The ability to perform regression analysis in Excel makes this approach especially useful for small organizations or practitioners who need quick, interpretable results.</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Nevertheless, certain limitations warrant acknowledgment. The dataset is cross sectional, meaning it captures only one point in time and cannot establish causality. Variables such as income, education, and regional healthcare costs were not included but could influence both health behaviors and spending. Furthermore, while smoking and obesity are strongly correlated with higher costs, the lagged effects of long term health deterioration may extend beyond the observed period. Future research could extend this model into a panel structure, incorporate socioeconomic variables, or explore nonlinear specifications to capture threshold effects.</w:t>
      </w:r>
    </w:p>
    <w:p w:rsidR="00000000" w:rsidDel="00000000" w:rsidP="00000000" w:rsidRDefault="00000000" w:rsidRPr="00000000" w14:paraId="00000027">
      <w:pPr>
        <w:pStyle w:val="Heading1"/>
        <w:spacing w:line="36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8"/>
          <w:szCs w:val="24"/>
          <w:rtl w:val="0"/>
        </w:rPr>
        <w:t>6. Conclusion</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This paper demonstrates that basic regression analysis, even when conducted in Excel, can reveal meaningful insights into healthcare cost dynamics. Smoking, body mass index, and age emerge as powerful predictors of individual insurance expenses, explaining roughly three quarters of the variation in the dataset. The finding that smokers incur approximately twenty four thousand dollars more in annual medical costs than non smokers highlights the profound financial consequences of modifiable health behaviors. BMI and age also contribute positively to spending, reinforcing the cumulative impact of lifestyle and biological aging.</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The broader implication is that personal health choices translate directly into measurable economic outcomes. Insurers, policymakers, and healthcare providers can use this understanding to design fairer pricing systems, targeted wellness incentives, and prevention programs that improve both health and financial sustainability. Methodologically, this project underscores that effective research depends more on clarity and rigor than on complexity. When executed carefully, even simple models can provide robust and actionable insights.</w:t>
      </w:r>
    </w:p>
    <w:p w:rsidR="00000000" w:rsidDel="00000000" w:rsidP="00000000" w:rsidRDefault="00000000" w:rsidRPr="00000000" w14:paraId="0000002A">
      <w:pPr>
        <w:spacing w:line="480" w:lineRule="auto"/>
        <w:rPr>
          <w:rFonts w:ascii="Times New Roman" w:cs="Times New Roman" w:eastAsia="Times New Roman" w:hAnsi="Times New Roman"/>
          <w:b w:val="1"/>
          <w:sz w:val="24"/>
          <w:szCs w:val="24"/>
        </w:rPr>
      </w:pPr>
      <w:r w:rsidDel="00000000" w:rsidR="00000000" w:rsidRPr="00000000"/>
      <w:r w:rsidDel="00000000" w:rsidR="00000000" w:rsidRPr="00000000">
        <w:rPr>
          <w:rtl w:val="0"/>
        </w:rPr>
      </w:r>
    </w:p>
    <w:p w:rsidR="00000000" w:rsidDel="00000000" w:rsidP="00000000" w:rsidRDefault="00000000" w:rsidRPr="00000000" w14:paraId="0000002B">
      <w:pPr>
        <w:pStyle w:val="Heading2"/>
        <w:spacing w:line="480" w:lineRule="auto"/>
        <w:jc w:val="left"/>
        <w:rPr>
          <w:rFonts w:ascii="Times New Roman" w:cs="Times New Roman" w:eastAsia="Times New Roman" w:hAnsi="Times New Roman"/>
          <w:b w:val="1"/>
          <w:sz w:val="24"/>
          <w:szCs w:val="24"/>
        </w:rPr>
      </w:pPr>
      <w:r w:rsidDel="00000000" w:rsidR="00000000" w:rsidRPr="00000000">
        <w:rPr>
          <w:rFonts w:ascii="Cambria" w:cs="Times New Roman" w:eastAsia="Times New Roman" w:hAnsi="Cambria"/>
          <w:b w:val="1"/>
          <w:sz w:val="24"/>
          <w:szCs w:val="24"/>
          <w:rtl w:val="0"/>
        </w:rPr>
        <w:t>References</w:t>
      </w:r>
    </w:p>
    <w:p w:rsidR="00000000" w:rsidDel="00000000" w:rsidP="00000000" w:rsidRDefault="00000000" w:rsidRPr="00000000" w14:paraId="000000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4"/>
          <w:rtl w:val="0"/>
        </w:rPr>
        <w:t xml:space="preserve">Choi, M. (2017). </w:t>
      </w:r>
      <w:r w:rsidDel="00000000" w:rsidR="00000000" w:rsidRPr="00000000">
        <w:rPr>
          <w:rFonts w:ascii="Times New Roman" w:cs="Times New Roman" w:eastAsia="Times New Roman" w:hAnsi="Times New Roman"/>
          <w:i w:val="1"/>
          <w:sz w:val="22"/>
          <w:szCs w:val="24"/>
          <w:rtl w:val="0"/>
        </w:rPr>
        <w:t>Medical Cost Personal Datasets</w:t>
      </w:r>
      <w:r w:rsidDel="00000000" w:rsidR="00000000" w:rsidRPr="00000000">
        <w:rPr>
          <w:rFonts w:ascii="Times New Roman" w:cs="Times New Roman" w:eastAsia="Times New Roman" w:hAnsi="Times New Roman"/>
          <w:sz w:val="22"/>
          <w:szCs w:val="24"/>
          <w:rtl w:val="0"/>
        </w:rPr>
        <w:t xml:space="preserve">. Kaggle. </w:t>
      </w:r>
      <w:hyperlink r:id="rId6">
        <w:r w:rsidDel="00000000" w:rsidR="00000000" w:rsidRPr="00000000">
          <w:rPr>
            <w:rFonts w:ascii="Times New Roman" w:cs="Times New Roman" w:eastAsia="Times New Roman" w:hAnsi="Times New Roman"/>
            <w:color w:val="1155cc"/>
            <w:sz w:val="24"/>
            <w:szCs w:val="24"/>
            <w:u w:val="single"/>
            <w:rtl w:val="0"/>
          </w:rPr>
          <w:t xml:space="preserve">https://www.kaggle.com/datasets/mirichoi0218/insurance</w:t>
        </w:r>
      </w:hyperlink>
      <w:r w:rsidDel="00000000" w:rsidR="00000000" w:rsidRPr="00000000">
        <w:rPr>
          <w:rFonts w:ascii="Times New Roman" w:hAnsi="Times New Roman"/>
          <w:sz w:val="22"/>
          <w:rtl w:val="0"/>
        </w:rPr>
      </w:r>
    </w:p>
    <w:sectPr>
      <w:footerReference w:type="default" r:id="rId7"/>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 PAGE </w:instrText>
      <w:fldChar w:fldCharType="separate"/>
      <w:fldChar w:fldCharType="end"/>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pPr>
      <w:spacing w:line="276" w:lineRule="auto" w:after="120" w:before="0"/>
    </w:pPr>
    <w:rPr>
      <w:rFonts w:ascii="Times New Roman" w:hAnsi="Times New Roman"/>
      <w:sz w:val="22"/>
    </w:rPr>
  </w:style>
  <w:style w:type="paragraph" w:styleId="Heading1">
    <w:name w:val="heading 1"/>
    <w:basedOn w:val="Normal"/>
    <w:next w:val="Normal"/>
    <w:pPr>
      <w:keepNext w:val="1"/>
      <w:keepLines w:val="1"/>
      <w:pageBreakBefore w:val="0"/>
      <w:spacing w:after="120" w:before="240" w:lineRule="auto"/>
    </w:pPr>
    <w:rPr>
      <w:rFonts w:ascii="Cambria" w:hAnsi="Cambria"/>
      <w:b/>
      <w:sz w:val="28"/>
      <w:szCs w:val="40"/>
    </w:rPr>
  </w:style>
  <w:style w:type="paragraph" w:styleId="Heading2">
    <w:name w:val="heading 2"/>
    <w:basedOn w:val="Normal"/>
    <w:next w:val="Normal"/>
    <w:pPr>
      <w:keepNext w:val="1"/>
      <w:keepLines w:val="1"/>
      <w:pageBreakBefore w:val="0"/>
      <w:spacing w:after="80" w:before="200" w:lineRule="auto"/>
    </w:pPr>
    <w:rPr>
      <w:rFonts w:ascii="Cambria" w:hAnsi="Cambria"/>
      <w:b/>
      <w:sz w:val="24"/>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customStyle="1" w:styleId="TorchlineTitle">
    <w:name w:val="Torchline Title"/>
    <w:pPr>
      <w:spacing w:after="240" w:line="264" w:lineRule="auto"/>
      <w:jc w:val="center"/>
    </w:pPr>
    <w:rPr>
      <w:rFonts w:ascii="Cambria" w:hAnsi="Cambria"/>
      <w:b/>
      <w:sz w:val="36"/>
    </w:rPr>
  </w:style>
  <w:style w:type="paragraph" w:customStyle="1" w:styleId="TorchlineSubtitle">
    <w:name w:val="Torchline Subtitle"/>
    <w:pPr>
      <w:spacing w:after="120"/>
      <w:jc w:val="center"/>
    </w:pPr>
    <w:rPr>
      <w:rFonts w:ascii="Cambria" w:hAnsi="Cambria"/>
      <w:b w:val="0"/>
      <w:sz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aggle.com/datasets/mirichoi0218/insurance"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