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1843" w14:textId="77777777" w:rsidR="00130369" w:rsidRPr="00174A7E" w:rsidRDefault="00130369" w:rsidP="00174A7E">
      <w:pPr>
        <w:spacing w:line="480" w:lineRule="auto"/>
        <w:jc w:val="center"/>
        <w:rPr>
          <w:rFonts w:ascii="Times New Roman" w:hAnsi="Times New Roman" w:cs="Times New Roman"/>
        </w:rPr>
      </w:pPr>
    </w:p>
    <w:p w14:paraId="315DBA8D" w14:textId="77777777" w:rsidR="00130369" w:rsidRPr="00174A7E" w:rsidRDefault="00130369" w:rsidP="00174A7E">
      <w:pPr>
        <w:spacing w:line="480" w:lineRule="auto"/>
        <w:jc w:val="center"/>
        <w:rPr>
          <w:rFonts w:ascii="Times New Roman" w:hAnsi="Times New Roman" w:cs="Times New Roman"/>
        </w:rPr>
      </w:pPr>
    </w:p>
    <w:p w14:paraId="3C02B6F4" w14:textId="77777777" w:rsidR="00130369" w:rsidRPr="00174A7E" w:rsidRDefault="00130369" w:rsidP="00174A7E">
      <w:pPr>
        <w:spacing w:line="480" w:lineRule="auto"/>
        <w:jc w:val="center"/>
        <w:rPr>
          <w:rFonts w:ascii="Times New Roman" w:hAnsi="Times New Roman" w:cs="Times New Roman"/>
        </w:rPr>
      </w:pPr>
    </w:p>
    <w:p w14:paraId="369ED2C6" w14:textId="77777777" w:rsidR="00130369" w:rsidRPr="00174A7E" w:rsidRDefault="00130369" w:rsidP="00174A7E">
      <w:pPr>
        <w:spacing w:line="480" w:lineRule="auto"/>
        <w:jc w:val="center"/>
        <w:rPr>
          <w:rFonts w:ascii="Times New Roman" w:hAnsi="Times New Roman" w:cs="Times New Roman"/>
        </w:rPr>
      </w:pPr>
    </w:p>
    <w:p w14:paraId="1C5F3B7F" w14:textId="77777777" w:rsidR="00130369" w:rsidRPr="00174A7E" w:rsidRDefault="00130369" w:rsidP="00174A7E">
      <w:pPr>
        <w:spacing w:line="480" w:lineRule="auto"/>
        <w:jc w:val="center"/>
        <w:rPr>
          <w:rFonts w:ascii="Times New Roman" w:hAnsi="Times New Roman" w:cs="Times New Roman"/>
        </w:rPr>
      </w:pPr>
    </w:p>
    <w:p w14:paraId="4A05E990" w14:textId="77777777" w:rsidR="00130369" w:rsidRPr="00174A7E" w:rsidRDefault="00130369" w:rsidP="00174A7E">
      <w:pPr>
        <w:spacing w:line="480" w:lineRule="auto"/>
        <w:jc w:val="center"/>
        <w:rPr>
          <w:rFonts w:ascii="Times New Roman" w:hAnsi="Times New Roman" w:cs="Times New Roman"/>
        </w:rPr>
      </w:pPr>
    </w:p>
    <w:p w14:paraId="1210174F" w14:textId="0C7A4717" w:rsidR="00012083" w:rsidRPr="00174A7E" w:rsidRDefault="00130369" w:rsidP="00174A7E">
      <w:pPr>
        <w:spacing w:line="480" w:lineRule="auto"/>
        <w:jc w:val="both"/>
        <w:rPr>
          <w:rFonts w:ascii="Times New Roman" w:hAnsi="Times New Roman" w:cs="Times New Roman"/>
        </w:rPr>
      </w:pPr>
      <w:r w:rsidRPr="00130369">
        <w:rPr>
          <w:rFonts w:ascii="Times New Roman" w:hAnsi="Times New Roman" w:cs="Times New Roman"/>
          <w:sz w:val="22"/>
        </w:rPr>
        <w:t>Launching Tesla’s New Electric Motorcycle Line: A Strategic Capital Budgeting and WACC Analysis</w:t>
      </w:r>
    </w:p>
    <w:p w14:paraId="4442574F" w14:textId="2ADE9254" w:rsidR="00130369" w:rsidRPr="00174A7E" w:rsidRDefault="00130369" w:rsidP="00174A7E">
      <w:pPr>
        <w:pStyle w:val="Heading2"/>
        <w:spacing w:line="480" w:lineRule="auto"/>
        <w:jc w:val="left"/>
        <w:rPr>
          <w:rFonts w:ascii="Times New Roman" w:hAnsi="Times New Roman" w:cs="Times New Roman"/>
        </w:rPr>
      </w:pPr>
      <w:r w:rsidRPr="00174A7E">
        <w:rPr>
          <w:rFonts w:ascii="Cambria" w:hAnsi="Cambria" w:cs="Times New Roman"/>
          <w:sz w:val="24"/>
        </w:rPr>
        <w:t>Syed Mehdi</w:t>
      </w:r>
    </w:p>
    <w:p w14:paraId="20DF199D" w14:textId="6688C5B7"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July 3, 2025</w:t>
      </w:r>
      <w:r w:rsidRPr="00174A7E">
        <w:rPr>
          <w:rFonts w:ascii="Times New Roman" w:hAnsi="Times New Roman" w:cs="Times New Roman"/>
          <w:sz w:val="22"/>
        </w:rPr>
      </w:r>
    </w:p>
    <w:p w14:paraId="1F427F4B" w14:textId="77777777" w:rsidR="00130369" w:rsidRPr="00174A7E" w:rsidRDefault="00130369" w:rsidP="00174A7E">
      <w:pPr>
        <w:pStyle w:val="Heading1"/>
        <w:spacing w:line="480" w:lineRule="auto"/>
        <w:jc w:val="left"/>
        <w:rPr>
          <w:rFonts w:ascii="Times New Roman" w:hAnsi="Times New Roman" w:cs="Times New Roman"/>
          <w:b/>
          <w:bCs/>
        </w:rPr>
      </w:pPr>
      <w:r w:rsidRPr="00174A7E">
        <w:rPr>
          <w:rFonts w:ascii="Cambria" w:hAnsi="Cambria" w:cs="Times New Roman"/>
          <w:b/>
          <w:bCs/>
          <w:sz w:val="28"/>
        </w:rPr>
        <w:t>1. Introduction and Company Overview</w:t>
      </w:r>
    </w:p>
    <w:p w14:paraId="671133BE" w14:textId="0966662D" w:rsidR="00130369" w:rsidRPr="00174A7E" w:rsidRDefault="00130369" w:rsidP="00174A7E">
      <w:pPr>
        <w:spacing w:line="480" w:lineRule="auto"/>
        <w:ind w:firstLine="720"/>
        <w:jc w:val="both"/>
        <w:rPr>
          <w:rFonts w:ascii="Times New Roman" w:hAnsi="Times New Roman" w:cs="Times New Roman"/>
        </w:rPr>
      </w:pPr>
      <w:r w:rsidRPr="00174A7E">
        <w:rPr>
          <w:rFonts w:ascii="Times New Roman" w:hAnsi="Times New Roman" w:cs="Times New Roman"/>
          <w:sz w:val="22"/>
        </w:rPr>
        <w:t>Tesla, Inc. (NASDAQ:</w:t>
      </w:r>
      <w:r w:rsidRPr="00174A7E">
        <w:rPr>
          <w:rFonts w:ascii="Times New Roman" w:hAnsi="Times New Roman" w:cs="Tahoma"/>
          <w:sz w:val="22"/>
        </w:rPr>
      </w:r>
      <w:r w:rsidRPr="00174A7E">
        <w:rPr>
          <w:rFonts w:ascii="Times New Roman" w:hAnsi="Times New Roman" w:cs="Times New Roman"/>
          <w:sz w:val="22"/>
        </w:rPr>
        <w:t xml:space="preserve"> TSLA) is a leading electric vehicle and</w:t>
      </w:r>
      <w:r w:rsidRPr="00174A7E">
        <w:rPr>
          <w:rFonts w:ascii="Times New Roman" w:hAnsi="Times New Roman" w:cs="Tahoma"/>
          <w:sz w:val="22"/>
        </w:rPr>
      </w:r>
      <w:r w:rsidRPr="00174A7E">
        <w:rPr>
          <w:rFonts w:ascii="Times New Roman" w:hAnsi="Times New Roman" w:cs="Times New Roman"/>
          <w:sz w:val="22"/>
        </w:rPr>
        <w:t xml:space="preserve"> clean energy company </w:t>
      </w:r>
      <w:r w:rsidRPr="00174A7E">
        <w:rPr>
          <w:rFonts w:ascii="Times New Roman" w:hAnsi="Times New Roman" w:cs="Times New Roman"/>
          <w:sz w:val="22"/>
        </w:rPr>
        <w:t>headquarters in</w:t>
      </w:r>
      <w:r w:rsidRPr="00174A7E">
        <w:rPr>
          <w:rFonts w:ascii="Times New Roman" w:hAnsi="Times New Roman" w:cs="Times New Roman"/>
          <w:sz w:val="22"/>
        </w:rPr>
        <w:t xml:space="preserve"> Austin, Texas. Founded in</w:t>
      </w:r>
      <w:r w:rsidRPr="00174A7E">
        <w:rPr>
          <w:rFonts w:ascii="Times New Roman" w:hAnsi="Times New Roman" w:cs="Tahoma"/>
          <w:sz w:val="22"/>
        </w:rPr>
      </w:r>
      <w:r w:rsidRPr="00174A7E">
        <w:rPr>
          <w:rFonts w:ascii="Times New Roman" w:hAnsi="Times New Roman" w:cs="Times New Roman"/>
          <w:sz w:val="22"/>
        </w:rPr>
        <w:t xml:space="preserve"> 2003, Tesla’s mission is to accelerate the world’s transition to sustainable energy (Tesla, 2024). Its core products include electric vehicles (Model S, 3, X, Y, Cybertruck), battery energy storage systems, and</w:t>
      </w:r>
      <w:r w:rsidRPr="00174A7E">
        <w:rPr>
          <w:rFonts w:ascii="Times New Roman" w:hAnsi="Times New Roman" w:cs="Tahoma"/>
          <w:sz w:val="22"/>
        </w:rPr>
      </w:r>
      <w:r w:rsidRPr="00174A7E">
        <w:rPr>
          <w:rFonts w:ascii="Times New Roman" w:hAnsi="Times New Roman" w:cs="Times New Roman"/>
          <w:sz w:val="22"/>
        </w:rPr>
        <w:t xml:space="preserve"> solar products.</w:t>
      </w:r>
    </w:p>
    <w:p w14:paraId="19FAFEA8" w14:textId="77777777" w:rsidR="00130369" w:rsidRPr="00174A7E" w:rsidRDefault="00130369" w:rsidP="00174A7E">
      <w:pPr>
        <w:pStyle w:val="Heading2"/>
        <w:spacing w:line="480" w:lineRule="auto"/>
        <w:jc w:val="left"/>
        <w:rPr>
          <w:rFonts w:ascii="Times New Roman" w:hAnsi="Times New Roman" w:cs="Times New Roman"/>
          <w:i/>
          <w:iCs/>
        </w:rPr>
      </w:pPr>
      <w:r w:rsidRPr="00174A7E">
        <w:rPr>
          <w:rFonts w:ascii="Cambria" w:hAnsi="Cambria" w:cs="Times New Roman"/>
          <w:i/>
          <w:iCs/>
          <w:sz w:val="24"/>
        </w:rPr>
        <w:t>Current Financial Health (2024)</w:t>
      </w:r>
    </w:p>
    <w:p w14:paraId="4C91DCB5" w14:textId="21685BBB"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Revenue: $96.77 billion</w:t>
      </w:r>
    </w:p>
    <w:p w14:paraId="5C65294D" w14:textId="3B93D646"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Net Income: $14.97 billion</w:t>
      </w:r>
    </w:p>
    <w:p w14:paraId="62F36AAA" w14:textId="318FFDE4"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Operating Margin: ~15.5%</w:t>
      </w:r>
    </w:p>
    <w:p w14:paraId="27A1FF26" w14:textId="1D78CEC3"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Mark</w:t>
      </w:r>
      <w:r w:rsidRPr="00174A7E">
        <w:rPr>
          <w:rFonts w:ascii="Times New Roman" w:hAnsi="Times New Roman" w:cs="Times New Roman"/>
          <w:sz w:val="22"/>
        </w:rPr>
        <w:t>e</w:t>
      </w:r>
      <w:r w:rsidRPr="00174A7E">
        <w:rPr>
          <w:rFonts w:ascii="Times New Roman" w:hAnsi="Times New Roman" w:cs="Times New Roman"/>
          <w:sz w:val="22"/>
        </w:rPr>
        <w:t>t Capitalization:</w:t>
      </w:r>
      <w:r w:rsidRPr="00174A7E">
        <w:rPr>
          <w:rFonts w:ascii="Times New Roman" w:hAnsi="Times New Roman" w:cs="Tahoma"/>
          <w:sz w:val="22"/>
        </w:rPr>
      </w:r>
      <w:r w:rsidRPr="00174A7E">
        <w:rPr>
          <w:rFonts w:ascii="Times New Roman" w:hAnsi="Times New Roman" w:cs="Times New Roman"/>
          <w:sz w:val="22"/>
        </w:rPr>
        <w:t xml:space="preserve"> ~$780 billion</w:t>
      </w:r>
    </w:p>
    <w:p w14:paraId="27072380" w14:textId="3EA0D3D9"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Debt to Equity Ratio: 0.13 (Tesla, 2024 10 K)</w:t>
      </w:r>
    </w:p>
    <w:p w14:paraId="2815F418" w14:textId="57E99E12"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Tesla’s low debt to equity</w:t>
      </w:r>
      <w:r w:rsidRPr="00174A7E">
        <w:rPr>
          <w:rFonts w:ascii="Times New Roman" w:hAnsi="Times New Roman" w:cs="Tahoma"/>
          <w:sz w:val="22"/>
        </w:rPr>
      </w:r>
      <w:r w:rsidRPr="00174A7E">
        <w:rPr>
          <w:rFonts w:ascii="Times New Roman" w:hAnsi="Times New Roman" w:cs="Times New Roman"/>
          <w:sz w:val="22"/>
        </w:rPr>
        <w:t xml:space="preserve"> ratio implies conservative debt usage, ensuring high equity financing flexibility for expansion projects.</w:t>
      </w:r>
    </w:p>
    <w:p w14:paraId="1495A7C6" w14:textId="77777777" w:rsidR="00130369" w:rsidRPr="00174A7E" w:rsidRDefault="00130369" w:rsidP="00174A7E">
      <w:pPr>
        <w:pStyle w:val="Heading2"/>
        <w:spacing w:line="480" w:lineRule="auto"/>
        <w:jc w:val="left"/>
        <w:rPr>
          <w:rFonts w:ascii="Times New Roman" w:hAnsi="Times New Roman" w:cs="Times New Roman"/>
          <w:i/>
          <w:iCs/>
        </w:rPr>
      </w:pPr>
      <w:r w:rsidRPr="00174A7E">
        <w:rPr>
          <w:rFonts w:ascii="Cambria" w:hAnsi="Cambria" w:cs="Times New Roman"/>
          <w:i/>
          <w:iCs/>
          <w:sz w:val="24"/>
        </w:rPr>
        <w:t>Capital Structure Analysis</w:t>
      </w:r>
    </w:p>
    <w:tbl>
      <w:tblPr>
        <w:tblStyle w:val="TableGrid"/>
        <w:tblW w:w="0" w:type="auto"/>
        <w:jc w:val="center"/>
        <w:tblLook w:val="04A0" w:firstRow="1" w:lastRow="0" w:firstColumn="1" w:lastColumn="0" w:noHBand="0" w:noVBand="1"/>
      </w:tblPr>
      <w:tblGrid>
        <w:gridCol w:w="3116"/>
        <w:gridCol w:w="3117"/>
        <w:gridCol w:w="3117"/>
      </w:tblGrid>
      <w:tr w:rsidR="00130369" w:rsidRPr="00174A7E" w14:paraId="449EA44C" w14:textId="77777777">
        <w:tc>
          <w:tcPr>
            <w:tcW w:w="3116" w:type="dxa"/>
            <w:vAlign w:val="center"/>
          </w:tcPr>
          <w:p w14:paraId="1EDF3C93" w14:textId="77777777" w:rsidR="00130369" w:rsidRPr="00174A7E" w:rsidRDefault="00130369" w:rsidP="00174A7E">
            <w:pPr>
              <w:spacing w:line="480" w:lineRule="auto"/>
              <w:jc w:val="left"/>
              <w:rPr>
                <w:rFonts w:ascii="Times New Roman" w:hAnsi="Times New Roman" w:cs="Times New Roman"/>
                <w:b/>
                <w:bCs/>
              </w:rPr>
            </w:pPr>
            <w:r w:rsidRPr="00174A7E">
              <w:rPr>
                <w:rFonts w:ascii="Times New Roman" w:hAnsi="Times New Roman" w:cs="Times New Roman"/>
                <w:b/>
                <w:bCs/>
                <w:sz w:val="21"/>
              </w:rPr>
              <w:t>Component</w:t>
            </w:r>
          </w:p>
        </w:tc>
        <w:tc>
          <w:tcPr>
            <w:tcW w:w="3117" w:type="dxa"/>
            <w:vAlign w:val="center"/>
          </w:tcPr>
          <w:p w14:paraId="7523A3DF" w14:textId="77777777" w:rsidR="00130369" w:rsidRPr="00174A7E" w:rsidRDefault="00130369" w:rsidP="00174A7E">
            <w:pPr>
              <w:spacing w:line="480" w:lineRule="auto"/>
              <w:jc w:val="left"/>
              <w:rPr>
                <w:rFonts w:ascii="Times New Roman" w:hAnsi="Times New Roman" w:cs="Times New Roman"/>
                <w:b/>
                <w:bCs/>
              </w:rPr>
            </w:pPr>
            <w:r w:rsidRPr="00174A7E">
              <w:rPr>
                <w:rFonts w:ascii="Times New Roman" w:hAnsi="Times New Roman" w:cs="Times New Roman"/>
                <w:b/>
                <w:bCs/>
                <w:sz w:val="21"/>
              </w:rPr>
              <w:t>Market</w:t>
            </w:r>
            <w:r w:rsidRPr="00174A7E">
              <w:rPr>
                <w:rFonts w:ascii="Times New Roman" w:hAnsi="Times New Roman" w:cs="Tahoma"/>
                <w:b/>
                <w:bCs/>
                <w:sz w:val="21"/>
              </w:rPr>
            </w:r>
            <w:r w:rsidRPr="00174A7E">
              <w:rPr>
                <w:rFonts w:ascii="Times New Roman" w:hAnsi="Times New Roman" w:cs="Times New Roman"/>
                <w:b/>
                <w:bCs/>
                <w:sz w:val="21"/>
              </w:rPr>
              <w:t xml:space="preserve"> Value (USD)</w:t>
            </w:r>
          </w:p>
        </w:tc>
        <w:tc>
          <w:tcPr>
            <w:tcW w:w="3117" w:type="dxa"/>
            <w:vAlign w:val="center"/>
          </w:tcPr>
          <w:p w14:paraId="7352A55C" w14:textId="77777777" w:rsidR="00130369" w:rsidRPr="00174A7E" w:rsidRDefault="00130369" w:rsidP="00174A7E">
            <w:pPr>
              <w:spacing w:line="480" w:lineRule="auto"/>
              <w:jc w:val="left"/>
              <w:rPr>
                <w:rFonts w:ascii="Times New Roman" w:hAnsi="Times New Roman" w:cs="Times New Roman"/>
                <w:b/>
                <w:bCs/>
              </w:rPr>
            </w:pPr>
            <w:r w:rsidRPr="00174A7E">
              <w:rPr>
                <w:rFonts w:ascii="Times New Roman" w:hAnsi="Times New Roman" w:cs="Times New Roman"/>
                <w:b/>
                <w:bCs/>
                <w:sz w:val="21"/>
              </w:rPr>
              <w:t>Weight</w:t>
            </w:r>
          </w:p>
        </w:tc>
      </w:tr>
      <w:tr w:rsidR="00130369" w:rsidRPr="00174A7E" w14:paraId="7312A790" w14:textId="77777777">
        <w:tc>
          <w:tcPr>
            <w:tcW w:w="3116" w:type="dxa"/>
            <w:vAlign w:val="center"/>
          </w:tcPr>
          <w:p w14:paraId="1511C46A" w14:textId="77777777" w:rsidR="00130369" w:rsidRPr="00174A7E" w:rsidRDefault="00130369" w:rsidP="00174A7E">
            <w:pPr>
              <w:spacing w:line="480" w:lineRule="auto"/>
              <w:jc w:val="left"/>
              <w:rPr>
                <w:rFonts w:ascii="Times New Roman" w:hAnsi="Times New Roman" w:cs="Times New Roman"/>
              </w:rPr>
            </w:pPr>
            <w:r w:rsidRPr="00174A7E">
              <w:rPr>
                <w:rFonts w:ascii="Times New Roman" w:hAnsi="Times New Roman" w:cs="Times New Roman"/>
                <w:sz w:val="21"/>
              </w:rPr>
              <w:t>Equity</w:t>
            </w:r>
          </w:p>
        </w:tc>
        <w:tc>
          <w:tcPr>
            <w:tcW w:w="3117" w:type="dxa"/>
            <w:vAlign w:val="center"/>
          </w:tcPr>
          <w:p w14:paraId="65A8D0F3" w14:textId="77777777" w:rsidR="00130369" w:rsidRPr="00174A7E" w:rsidRDefault="00130369" w:rsidP="00174A7E">
            <w:pPr>
              <w:spacing w:line="480" w:lineRule="auto"/>
              <w:jc w:val="left"/>
              <w:rPr>
                <w:rFonts w:ascii="Times New Roman" w:hAnsi="Times New Roman" w:cs="Times New Roman"/>
              </w:rPr>
            </w:pPr>
            <w:r w:rsidRPr="00174A7E">
              <w:rPr>
                <w:rFonts w:ascii="Times New Roman" w:hAnsi="Times New Roman" w:cs="Times New Roman"/>
                <w:sz w:val="21"/>
              </w:rPr>
              <w:t>780 billion</w:t>
            </w:r>
          </w:p>
        </w:tc>
        <w:tc>
          <w:tcPr>
            <w:tcW w:w="3117" w:type="dxa"/>
            <w:vAlign w:val="center"/>
          </w:tcPr>
          <w:p w14:paraId="1864EE32" w14:textId="77777777" w:rsidR="00130369" w:rsidRPr="00174A7E" w:rsidRDefault="00130369" w:rsidP="00174A7E">
            <w:pPr>
              <w:spacing w:line="480" w:lineRule="auto"/>
              <w:jc w:val="left"/>
              <w:rPr>
                <w:rFonts w:ascii="Times New Roman" w:hAnsi="Times New Roman" w:cs="Times New Roman"/>
              </w:rPr>
            </w:pPr>
            <w:r w:rsidRPr="00174A7E">
              <w:rPr>
                <w:rFonts w:ascii="Times New Roman" w:hAnsi="Times New Roman" w:cs="Times New Roman"/>
                <w:sz w:val="21"/>
              </w:rPr>
              <w:t>98.3%</w:t>
            </w:r>
          </w:p>
        </w:tc>
      </w:tr>
      <w:tr w:rsidR="00130369" w:rsidRPr="00174A7E" w14:paraId="2227BA1D" w14:textId="77777777">
        <w:tc>
          <w:tcPr>
            <w:tcW w:w="3116" w:type="dxa"/>
            <w:vAlign w:val="center"/>
          </w:tcPr>
          <w:p w14:paraId="2DB33061" w14:textId="77777777" w:rsidR="00130369" w:rsidRPr="00174A7E" w:rsidRDefault="00130369" w:rsidP="00174A7E">
            <w:pPr>
              <w:spacing w:line="480" w:lineRule="auto"/>
              <w:jc w:val="left"/>
              <w:rPr>
                <w:rFonts w:ascii="Times New Roman" w:hAnsi="Times New Roman" w:cs="Times New Roman"/>
              </w:rPr>
            </w:pPr>
            <w:r w:rsidRPr="00174A7E">
              <w:rPr>
                <w:rFonts w:ascii="Times New Roman" w:hAnsi="Times New Roman" w:cs="Times New Roman"/>
                <w:sz w:val="21"/>
              </w:rPr>
              <w:t>Debt</w:t>
            </w:r>
          </w:p>
        </w:tc>
        <w:tc>
          <w:tcPr>
            <w:tcW w:w="3117" w:type="dxa"/>
            <w:vAlign w:val="center"/>
          </w:tcPr>
          <w:p w14:paraId="4E53D6D3" w14:textId="77777777" w:rsidR="00130369" w:rsidRPr="00174A7E" w:rsidRDefault="00130369" w:rsidP="00174A7E">
            <w:pPr>
              <w:spacing w:line="480" w:lineRule="auto"/>
              <w:jc w:val="left"/>
              <w:rPr>
                <w:rFonts w:ascii="Times New Roman" w:hAnsi="Times New Roman" w:cs="Times New Roman"/>
              </w:rPr>
            </w:pPr>
            <w:r w:rsidRPr="00174A7E">
              <w:rPr>
                <w:rFonts w:ascii="Times New Roman" w:hAnsi="Times New Roman" w:cs="Times New Roman"/>
                <w:sz w:val="21"/>
              </w:rPr>
              <w:t>13 billion</w:t>
            </w:r>
          </w:p>
        </w:tc>
        <w:tc>
          <w:tcPr>
            <w:tcW w:w="3117" w:type="dxa"/>
            <w:vAlign w:val="center"/>
          </w:tcPr>
          <w:p w14:paraId="0165317A" w14:textId="77777777" w:rsidR="00130369" w:rsidRPr="00174A7E" w:rsidRDefault="00130369" w:rsidP="00174A7E">
            <w:pPr>
              <w:spacing w:line="480" w:lineRule="auto"/>
              <w:jc w:val="left"/>
              <w:rPr>
                <w:rFonts w:ascii="Times New Roman" w:hAnsi="Times New Roman" w:cs="Times New Roman"/>
              </w:rPr>
            </w:pPr>
            <w:r w:rsidRPr="00174A7E">
              <w:rPr>
                <w:rFonts w:ascii="Times New Roman" w:hAnsi="Times New Roman" w:cs="Times New Roman"/>
                <w:sz w:val="21"/>
              </w:rPr>
              <w:t>1.7%</w:t>
            </w:r>
          </w:p>
        </w:tc>
      </w:tr>
    </w:tbl>
    <w:p w14:paraId="78228987" w14:textId="77777777" w:rsidR="00130369" w:rsidRPr="00174A7E" w:rsidRDefault="00130369" w:rsidP="00174A7E">
      <w:pPr>
        <w:spacing w:line="480" w:lineRule="auto"/>
        <w:rPr>
          <w:rFonts w:ascii="Times New Roman" w:hAnsi="Times New Roman" w:cs="Times New Roman"/>
        </w:rPr>
      </w:pPr>
    </w:p>
    <w:p w14:paraId="6874764C" w14:textId="360B9123"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Tesla's equity heavy structure minimizes financial leverage risks, supporting strategic growth initiatives with limited solvency concerns.</w:t>
      </w:r>
      <w:r w:rsidRPr="00174A7E">
        <w:rPr>
          <w:rFonts w:ascii="Times New Roman" w:hAnsi="Times New Roman" w:cs="Times New Roman"/>
          <w:sz w:val="22"/>
        </w:rPr>
      </w:r>
    </w:p>
    <w:p w14:paraId="7752B700" w14:textId="77777777" w:rsidR="00130369" w:rsidRPr="00174A7E" w:rsidRDefault="00130369" w:rsidP="00174A7E">
      <w:pPr>
        <w:pStyle w:val="Heading1"/>
        <w:spacing w:line="480" w:lineRule="auto"/>
        <w:jc w:val="left"/>
        <w:rPr>
          <w:rFonts w:ascii="Times New Roman" w:hAnsi="Times New Roman" w:cs="Times New Roman"/>
        </w:rPr>
      </w:pPr>
      <w:r w:rsidRPr="00174A7E">
        <w:rPr>
          <w:rFonts w:ascii="Cambria" w:hAnsi="Cambria" w:cs="Times New Roman"/>
          <w:sz w:val="28"/>
        </w:rPr>
        <w:t>2. Estimating Weighted Average Cost of Capital (WACC)</w:t>
      </w:r>
    </w:p>
    <w:p w14:paraId="25227F80" w14:textId="09D7A77F"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Using CAPM</w:t>
      </w:r>
      <w:r w:rsidRPr="00174A7E">
        <w:rPr>
          <w:rFonts w:ascii="Times New Roman" w:hAnsi="Times New Roman" w:cs="Times New Roman"/>
          <w:sz w:val="22"/>
        </w:rPr>
        <w:t>:</w:t>
      </w:r>
    </w:p>
    <w:p w14:paraId="168C2860" w14:textId="31416710" w:rsidR="00130369" w:rsidRPr="00174A7E" w:rsidRDefault="00130369" w:rsidP="00174A7E">
      <w:pPr>
        <w:pStyle w:val="Heading2"/>
        <w:numPr>
          <w:ilvl w:val="0"/>
          <w:numId w:val="1"/>
        </w:numPr>
        <w:spacing w:line="480" w:lineRule="auto"/>
        <w:jc w:val="left"/>
        <w:rPr>
          <w:rFonts w:ascii="Times New Roman" w:hAnsi="Times New Roman" w:cs="Times New Roman"/>
        </w:rPr>
      </w:pPr>
      <w:r w:rsidRPr="00174A7E">
        <w:rPr>
          <w:rFonts w:ascii="Cambria" w:hAnsi="Cambria" w:cs="Times New Roman"/>
          <w:sz w:val="24"/>
        </w:rPr>
        <w:t>Risk Free Rate (10 year Treasury, June 2024): 4.25%</w:t>
      </w:r>
    </w:p>
    <w:p w14:paraId="02CAE634" w14:textId="351BA5EF" w:rsidR="00130369" w:rsidRPr="00174A7E" w:rsidRDefault="00130369" w:rsidP="00174A7E">
      <w:pPr>
        <w:numPr>
          <w:ilvl w:val="0"/>
          <w:numId w:val="1"/>
        </w:numPr>
        <w:spacing w:line="480" w:lineRule="auto"/>
        <w:jc w:val="both"/>
        <w:rPr>
          <w:rFonts w:ascii="Times New Roman" w:hAnsi="Times New Roman" w:cs="Times New Roman"/>
        </w:rPr>
      </w:pPr>
      <w:r w:rsidRPr="00174A7E">
        <w:rPr>
          <w:rFonts w:ascii="Times New Roman" w:hAnsi="Times New Roman" w:cs="Times New Roman"/>
          <w:sz w:val="22"/>
        </w:rPr>
        <w:t>Beta: 2.07 (Yahoo Finance, 2024)</w:t>
      </w:r>
    </w:p>
    <w:p w14:paraId="3CEDFE81" w14:textId="77777777" w:rsidR="00130369" w:rsidRPr="00174A7E" w:rsidRDefault="00130369" w:rsidP="00174A7E">
      <w:pPr>
        <w:numPr>
          <w:ilvl w:val="0"/>
          <w:numId w:val="1"/>
        </w:numPr>
        <w:spacing w:line="480" w:lineRule="auto"/>
        <w:jc w:val="both"/>
        <w:rPr>
          <w:rFonts w:ascii="Times New Roman" w:hAnsi="Times New Roman" w:cs="Times New Roman"/>
        </w:rPr>
      </w:pPr>
      <w:r w:rsidRPr="00174A7E">
        <w:rPr>
          <w:rFonts w:ascii="Times New Roman" w:hAnsi="Times New Roman" w:cs="Times New Roman"/>
          <w:sz w:val="22"/>
        </w:rPr>
        <w:t>Market Risk Premium: 6% (Damodaran, 2024)</w:t>
      </w:r>
    </w:p>
    <w:p w14:paraId="4030CF1B" w14:textId="29845BFA"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 xml:space="preserve">Cost of Equity </w:t>
      </w:r>
    </w:p>
    <w:p w14:paraId="6C6D1039" w14:textId="0A06997F"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=4.25%+2.07×6%=16.67%</w:t>
      </w:r>
      <w:r w:rsidRPr="00174A7E">
        <w:rPr>
          <w:rFonts w:ascii="Times New Roman" w:hAnsi="Times New Roman" w:cs="Times New Roman"/>
          <w:sz w:val="22"/>
        </w:rPr>
        <w:br/>
      </w:r>
    </w:p>
    <w:p w14:paraId="2F14469B" w14:textId="77777777" w:rsidR="00130369" w:rsidRPr="00174A7E" w:rsidRDefault="00130369" w:rsidP="00174A7E">
      <w:pPr>
        <w:pStyle w:val="Heading2"/>
        <w:spacing w:line="480" w:lineRule="auto"/>
        <w:jc w:val="left"/>
        <w:rPr>
          <w:rFonts w:ascii="Times New Roman" w:hAnsi="Times New Roman" w:cs="Times New Roman"/>
          <w:i/>
          <w:iCs/>
        </w:rPr>
      </w:pPr>
      <w:r w:rsidRPr="00174A7E">
        <w:rPr>
          <w:rFonts w:ascii="Cambria" w:hAnsi="Cambria" w:cs="Times New Roman"/>
          <w:i/>
          <w:iCs/>
          <w:sz w:val="24"/>
        </w:rPr>
        <w:t>Using Dividend Discount</w:t>
      </w:r>
      <w:r w:rsidRPr="00174A7E">
        <w:rPr>
          <w:rFonts w:ascii="Cambria" w:hAnsi="Cambria" w:cs="Tahoma"/>
          <w:i/>
          <w:iCs/>
          <w:sz w:val="24"/>
        </w:rPr>
      </w:r>
      <w:r w:rsidRPr="00174A7E">
        <w:rPr>
          <w:rFonts w:ascii="Cambria" w:hAnsi="Cambria" w:cs="Times New Roman"/>
          <w:i/>
          <w:iCs/>
          <w:sz w:val="24"/>
        </w:rPr>
        <w:t xml:space="preserve"> Model (DDM)</w:t>
      </w:r>
    </w:p>
    <w:p w14:paraId="783ADA71" w14:textId="4D8D7FB6"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Tesla does not pay dividends.</w:t>
      </w:r>
      <w:r w:rsidRPr="00174A7E">
        <w:rPr>
          <w:rFonts w:ascii="Times New Roman" w:hAnsi="Times New Roman" w:cs="Tahoma"/>
          <w:sz w:val="22"/>
        </w:rPr>
      </w:r>
      <w:r w:rsidRPr="00174A7E">
        <w:rPr>
          <w:rFonts w:ascii="Times New Roman" w:hAnsi="Times New Roman" w:cs="Times New Roman"/>
          <w:sz w:val="22"/>
        </w:rPr>
        <w:t xml:space="preserve"> Thus, DDM is not applicable (Tesla, 2024 10 K).</w:t>
      </w:r>
    </w:p>
    <w:p w14:paraId="65E248FF" w14:textId="3A3B5E7A"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Decision: CAPM will be used.</w:t>
      </w:r>
    </w:p>
    <w:p w14:paraId="351746F0" w14:textId="77777777" w:rsidR="00130369" w:rsidRPr="00174A7E" w:rsidRDefault="00130369" w:rsidP="00174A7E">
      <w:pPr>
        <w:spacing w:line="480" w:lineRule="auto"/>
        <w:jc w:val="both"/>
        <w:rPr>
          <w:rFonts w:ascii="Times New Roman" w:hAnsi="Times New Roman" w:cs="Times New Roman"/>
          <w:i/>
          <w:iCs/>
        </w:rPr>
      </w:pPr>
      <w:r w:rsidRPr="00174A7E">
        <w:rPr>
          <w:rFonts w:ascii="Times New Roman" w:hAnsi="Times New Roman" w:cs="Times New Roman"/>
          <w:i/>
          <w:iCs/>
          <w:sz w:val="22"/>
        </w:rPr>
        <w:t>Cost of Debt</w:t>
      </w:r>
    </w:p>
    <w:p w14:paraId="51DDCB8F" w14:textId="12A430C9" w:rsidR="00130369" w:rsidRPr="00174A7E" w:rsidRDefault="00130369" w:rsidP="00174A7E">
      <w:pPr>
        <w:numPr>
          <w:ilvl w:val="0"/>
          <w:numId w:val="2"/>
        </w:numPr>
        <w:spacing w:line="480" w:lineRule="auto"/>
        <w:jc w:val="both"/>
        <w:rPr>
          <w:rFonts w:ascii="Times New Roman" w:hAnsi="Times New Roman" w:cs="Times New Roman"/>
        </w:rPr>
      </w:pPr>
      <w:r w:rsidRPr="00174A7E">
        <w:rPr>
          <w:rFonts w:ascii="Times New Roman" w:hAnsi="Times New Roman" w:cs="Times New Roman"/>
          <w:sz w:val="22"/>
        </w:rPr>
        <w:t>Tesla’s most recent bond</w:t>
      </w:r>
      <w:r w:rsidRPr="00174A7E">
        <w:rPr>
          <w:rFonts w:ascii="Times New Roman" w:hAnsi="Times New Roman" w:cs="Tahoma"/>
          <w:sz w:val="22"/>
        </w:rPr>
      </w:r>
      <w:r w:rsidRPr="00174A7E">
        <w:rPr>
          <w:rFonts w:ascii="Times New Roman" w:hAnsi="Times New Roman" w:cs="Times New Roman"/>
          <w:sz w:val="22"/>
        </w:rPr>
        <w:t xml:space="preserve"> yield (maturing 2030): 5.3%</w:t>
      </w:r>
    </w:p>
    <w:p w14:paraId="0B84DE85" w14:textId="3FF046EB" w:rsidR="00130369" w:rsidRPr="00174A7E" w:rsidRDefault="00130369" w:rsidP="00174A7E">
      <w:pPr>
        <w:numPr>
          <w:ilvl w:val="0"/>
          <w:numId w:val="2"/>
        </w:numPr>
        <w:spacing w:line="480" w:lineRule="auto"/>
        <w:jc w:val="both"/>
        <w:rPr>
          <w:rFonts w:ascii="Times New Roman" w:hAnsi="Times New Roman" w:cs="Times New Roman"/>
        </w:rPr>
      </w:pPr>
      <w:r w:rsidRPr="00174A7E">
        <w:rPr>
          <w:rFonts w:ascii="Times New Roman" w:hAnsi="Times New Roman" w:cs="Times New Roman"/>
          <w:sz w:val="22"/>
        </w:rPr>
        <w:t>Tax</w:t>
      </w:r>
      <w:r w:rsidRPr="00174A7E">
        <w:rPr>
          <w:rFonts w:ascii="Times New Roman" w:hAnsi="Times New Roman" w:cs="Tahoma"/>
          <w:sz w:val="22"/>
        </w:rPr>
      </w:r>
      <w:r w:rsidRPr="00174A7E">
        <w:rPr>
          <w:rFonts w:ascii="Times New Roman" w:hAnsi="Times New Roman" w:cs="Times New Roman"/>
          <w:sz w:val="22"/>
        </w:rPr>
        <w:t xml:space="preserve"> Rate: 13% (Tesla, 2024 10 K)</w:t>
      </w:r>
    </w:p>
    <w:p w14:paraId="130189F9" w14:textId="43B13580" w:rsidR="00130369" w:rsidRPr="00174A7E" w:rsidRDefault="00130369" w:rsidP="00174A7E">
      <w:pPr>
        <w:numPr>
          <w:ilvl w:val="0"/>
          <w:numId w:val="2"/>
        </w:numPr>
        <w:spacing w:line="480" w:lineRule="auto"/>
        <w:jc w:val="both"/>
        <w:rPr>
          <w:rFonts w:ascii="Times New Roman" w:hAnsi="Times New Roman" w:cs="Times New Roman"/>
        </w:rPr>
      </w:pPr>
      <w:r w:rsidRPr="00174A7E">
        <w:rPr>
          <w:rFonts w:ascii="Times New Roman" w:hAnsi="Times New Roman" w:cs="Times New Roman"/>
          <w:sz w:val="22"/>
        </w:rPr>
        <w:t>After Tax Cost of Debt = Pre Tax Cost x (1 Tax Rate)</w:t>
      </w:r>
      <w:r w:rsidRPr="00174A7E">
        <w:rPr>
          <w:rFonts w:ascii="Times New Roman" w:hAnsi="Times New Roman" w:cs="Times New Roman"/>
          <w:sz w:val="22"/>
        </w:rPr>
        <w:t xml:space="preserve"> </w:t>
      </w:r>
    </w:p>
    <w:p w14:paraId="064A061B" w14:textId="77777777"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=5.3%×(1 minus 0.13)=4.61%</w:t>
      </w:r>
    </w:p>
    <w:p w14:paraId="60D8EB7C" w14:textId="77777777" w:rsidR="00130369" w:rsidRPr="00174A7E" w:rsidRDefault="00130369" w:rsidP="00174A7E">
      <w:pPr>
        <w:spacing w:line="480" w:lineRule="auto"/>
        <w:rPr>
          <w:rFonts w:ascii="Times New Roman" w:hAnsi="Times New Roman" w:cs="Times New Roman"/>
        </w:rPr>
      </w:pPr>
    </w:p>
    <w:p w14:paraId="7CCEDE4B" w14:textId="77777777" w:rsidR="00130369" w:rsidRPr="00174A7E" w:rsidRDefault="00130369" w:rsidP="00174A7E">
      <w:pPr>
        <w:pStyle w:val="Heading2"/>
        <w:spacing w:line="480" w:lineRule="auto"/>
        <w:jc w:val="left"/>
        <w:rPr>
          <w:rFonts w:ascii="Times New Roman" w:hAnsi="Times New Roman" w:cs="Times New Roman"/>
        </w:rPr>
      </w:pPr>
      <w:r w:rsidRPr="00174A7E">
        <w:rPr>
          <w:rFonts w:ascii="Cambria" w:hAnsi="Cambria" w:cs="Times New Roman"/>
          <w:sz w:val="24"/>
        </w:rPr>
        <w:t>WACC Calculation</w:t>
      </w:r>
    </w:p>
    <w:p w14:paraId="5C49806B" w14:textId="005E3E41" w:rsidR="00130369" w:rsidRPr="00174A7E" w:rsidRDefault="00130369" w:rsidP="00174A7E">
      <w:pPr>
        <w:spacing w:line="480" w:lineRule="auto"/>
        <w:rPr>
          <w:rFonts w:ascii="Times New Roman" w:hAnsi="Times New Roman" w:cs="Times New Roman"/>
        </w:rPr>
      </w:pPr>
    </w:p>
    <w:p w14:paraId="0AD07286" w14:textId="77777777"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=(0.983×16.67%)+(0.017×4.61%)</w:t>
      </w:r>
    </w:p>
    <w:p w14:paraId="2FFD6B98" w14:textId="77777777" w:rsidR="00130369" w:rsidRPr="00174A7E" w:rsidRDefault="00130369" w:rsidP="00174A7E">
      <w:pPr>
        <w:spacing w:line="480" w:lineRule="auto"/>
        <w:jc w:val="both"/>
        <w:rPr>
          <w:rFonts w:ascii="Times New Roman" w:hAnsi="Times New Roman" w:cs="Times New Roman"/>
        </w:rPr>
      </w:pPr>
      <w:r w:rsidRPr="00174A7E">
        <w:rPr>
          <w:rFonts w:ascii="Times New Roman" w:hAnsi="Times New Roman" w:cs="Times New Roman"/>
          <w:sz w:val="22"/>
        </w:rPr>
        <w:t>=16.38%+0.08%=16.46%</w:t>
      </w:r>
    </w:p>
    <w:p w14:paraId="28157FE9" w14:textId="77777777" w:rsidR="00130369" w:rsidRPr="00174A7E" w:rsidRDefault="00130369" w:rsidP="00174A7E">
      <w:pPr>
        <w:spacing w:line="480" w:lineRule="auto"/>
        <w:rPr>
          <w:rFonts w:ascii="Times New Roman" w:hAnsi="Times New Roman" w:cs="Times New Roman"/>
        </w:rPr>
      </w:pPr>
    </w:p>
    <w:p w14:paraId="5BD8D161" w14:textId="77777777" w:rsidR="00130369" w:rsidRPr="00174A7E" w:rsidRDefault="00130369" w:rsidP="00174A7E">
      <w:pPr>
        <w:pStyle w:val="Heading2"/>
        <w:spacing w:line="480" w:lineRule="auto"/>
        <w:jc w:val="left"/>
        <w:rPr>
          <w:rFonts w:ascii="Times New Roman" w:hAnsi="Times New Roman" w:cs="Times New Roman"/>
        </w:rPr>
      </w:pPr>
      <w:r w:rsidRPr="00174A7E">
        <w:rPr>
          <w:rFonts w:ascii="Cambria" w:hAnsi="Cambria" w:cs="Times New Roman"/>
          <w:sz w:val="24"/>
        </w:rPr>
        <w:t>Assumptions</w:t>
      </w:r>
    </w:p>
    <w:p w14:paraId="2468D37D" w14:textId="3A86F36B" w:rsidR="00130369" w:rsidRPr="00174A7E" w:rsidRDefault="00130369" w:rsidP="00174A7E">
      <w:pPr>
        <w:numPr>
          <w:ilvl w:val="0"/>
          <w:numId w:val="3"/>
        </w:numPr>
        <w:spacing w:line="480" w:lineRule="auto"/>
        <w:jc w:val="both"/>
        <w:rPr>
          <w:rFonts w:ascii="Times New Roman" w:hAnsi="Times New Roman" w:cs="Times New Roman"/>
        </w:rPr>
      </w:pPr>
      <w:r w:rsidRPr="00174A7E">
        <w:rPr>
          <w:rFonts w:ascii="Times New Roman" w:hAnsi="Times New Roman" w:cs="Times New Roman"/>
          <w:sz w:val="22"/>
        </w:rPr>
        <w:t>Beta sourced from</w:t>
      </w:r>
      <w:r w:rsidRPr="00174A7E">
        <w:rPr>
          <w:rFonts w:ascii="Times New Roman" w:hAnsi="Times New Roman" w:cs="Tahoma"/>
          <w:sz w:val="22"/>
        </w:rPr>
      </w:r>
      <w:r w:rsidRPr="00174A7E">
        <w:rPr>
          <w:rFonts w:ascii="Times New Roman" w:hAnsi="Times New Roman" w:cs="Times New Roman"/>
          <w:sz w:val="22"/>
        </w:rPr>
        <w:t xml:space="preserve"> Yahoo Finance.</w:t>
      </w:r>
    </w:p>
    <w:p w14:paraId="0BB40115" w14:textId="6635255D" w:rsidR="00130369" w:rsidRPr="00174A7E" w:rsidRDefault="00130369" w:rsidP="00174A7E">
      <w:pPr>
        <w:numPr>
          <w:ilvl w:val="0"/>
          <w:numId w:val="3"/>
        </w:numPr>
        <w:spacing w:line="480" w:lineRule="auto"/>
        <w:jc w:val="both"/>
        <w:rPr>
          <w:rFonts w:ascii="Times New Roman" w:hAnsi="Times New Roman" w:cs="Times New Roman"/>
        </w:rPr>
      </w:pPr>
      <w:r w:rsidRPr="00174A7E">
        <w:rPr>
          <w:rFonts w:ascii="Times New Roman" w:hAnsi="Times New Roman" w:cs="Times New Roman"/>
          <w:sz w:val="22"/>
        </w:rPr>
        <w:t>Market risk premium from Damodaran (2024).</w:t>
      </w:r>
    </w:p>
    <w:p w14:paraId="1E98F5CB" w14:textId="1FE752AE" w:rsidR="00130369" w:rsidRPr="00174A7E" w:rsidRDefault="00130369" w:rsidP="00174A7E">
      <w:pPr>
        <w:numPr>
          <w:ilvl w:val="0"/>
          <w:numId w:val="3"/>
        </w:numPr>
        <w:spacing w:line="480" w:lineRule="auto"/>
        <w:jc w:val="both"/>
        <w:rPr>
          <w:rFonts w:ascii="Times New Roman" w:hAnsi="Times New Roman" w:cs="Times New Roman"/>
        </w:rPr>
      </w:pPr>
      <w:r w:rsidRPr="00174A7E">
        <w:rPr>
          <w:rFonts w:ascii="Times New Roman" w:hAnsi="Times New Roman" w:cs="Times New Roman"/>
          <w:sz w:val="22"/>
        </w:rPr>
        <w:t>Risk free rate reflects June 2024 Treasury yield.</w:t>
      </w:r>
    </w:p>
    <w:p w14:paraId="74CBBF1B" w14:textId="0945FBD7" w:rsidR="00F82580" w:rsidRPr="00174A7E" w:rsidRDefault="00130369" w:rsidP="00174A7E">
      <w:pPr>
        <w:numPr>
          <w:ilvl w:val="0"/>
          <w:numId w:val="3"/>
        </w:numPr>
        <w:spacing w:line="480" w:lineRule="auto"/>
        <w:jc w:val="both"/>
        <w:rPr>
          <w:rFonts w:ascii="Times New Roman" w:hAnsi="Times New Roman" w:cs="Times New Roman"/>
        </w:rPr>
      </w:pPr>
      <w:r w:rsidRPr="00174A7E">
        <w:rPr>
          <w:rFonts w:ascii="Times New Roman" w:hAnsi="Times New Roman" w:cs="Times New Roman"/>
          <w:sz w:val="22"/>
        </w:rPr>
        <w:t>Market values used for weights.</w:t>
      </w:r>
      <w:r w:rsidR="00F82580" w:rsidRPr="00174A7E">
        <w:rPr>
          <w:rFonts w:ascii="Times New Roman" w:hAnsi="Times New Roman" w:cs="Times New Roman"/>
          <w:sz w:val="22"/>
        </w:rPr>
      </w:r>
    </w:p>
    <w:p w14:paraId="53EDACCB" w14:textId="77777777" w:rsidR="00F82580" w:rsidRPr="00174A7E" w:rsidRDefault="00F82580" w:rsidP="00174A7E">
      <w:pPr>
        <w:pStyle w:val="Heading1"/>
        <w:spacing w:line="480" w:lineRule="auto"/>
        <w:ind w:left="360"/>
        <w:jc w:val="left"/>
        <w:rPr>
          <w:rFonts w:ascii="Times New Roman" w:hAnsi="Times New Roman" w:cs="Times New Roman"/>
        </w:rPr>
      </w:pPr>
      <w:r w:rsidRPr="00174A7E">
        <w:rPr>
          <w:rFonts w:ascii="Cambria" w:hAnsi="Cambria" w:cs="Times New Roman"/>
          <w:sz w:val="28"/>
        </w:rPr>
        <w:t>3. Project Cash Flow Estimation</w:t>
      </w:r>
    </w:p>
    <w:p w14:paraId="600ACB2D" w14:textId="77777777" w:rsidR="00F82580" w:rsidRPr="00174A7E" w:rsidRDefault="00F82580" w:rsidP="00174A7E">
      <w:pPr>
        <w:spacing w:line="480" w:lineRule="auto"/>
        <w:ind w:left="360"/>
        <w:jc w:val="both"/>
        <w:rPr>
          <w:rFonts w:ascii="Times New Roman" w:hAnsi="Times New Roman" w:cs="Times New Roman"/>
          <w:i/>
          <w:iCs/>
        </w:rPr>
      </w:pPr>
      <w:r w:rsidRPr="00174A7E">
        <w:rPr>
          <w:rFonts w:ascii="Times New Roman" w:hAnsi="Times New Roman" w:cs="Times New Roman"/>
          <w:i/>
          <w:iCs/>
          <w:sz w:val="22"/>
        </w:rPr>
        <w:t>Project:</w:t>
      </w:r>
      <w:r w:rsidRPr="00174A7E">
        <w:rPr>
          <w:rFonts w:ascii="Times New Roman" w:hAnsi="Times New Roman" w:cs="Tahoma"/>
          <w:i/>
          <w:iCs/>
          <w:sz w:val="22"/>
        </w:rPr>
      </w:r>
      <w:r w:rsidRPr="00174A7E">
        <w:rPr>
          <w:rFonts w:ascii="Times New Roman" w:hAnsi="Times New Roman" w:cs="Times New Roman"/>
          <w:i/>
          <w:iCs/>
          <w:sz w:val="22"/>
        </w:rPr>
        <w:t xml:space="preserve"> Tesla Electric Motorcycle Line</w:t>
      </w:r>
    </w:p>
    <w:p w14:paraId="1921589D" w14:textId="78E0711F" w:rsidR="00F82580" w:rsidRPr="00174A7E" w:rsidRDefault="00F82580" w:rsidP="00174A7E">
      <w:pPr>
        <w:pStyle w:val="Heading2"/>
        <w:spacing w:line="480" w:lineRule="auto"/>
        <w:ind w:left="360"/>
        <w:jc w:val="left"/>
        <w:rPr>
          <w:rFonts w:ascii="Times New Roman" w:hAnsi="Times New Roman" w:cs="Times New Roman"/>
        </w:rPr>
      </w:pPr>
      <w:r w:rsidRPr="00174A7E">
        <w:rPr>
          <w:rFonts w:ascii="Cambria" w:hAnsi="Cambria" w:cs="Times New Roman"/>
          <w:sz w:val="24"/>
        </w:rPr>
        <w:t>Assumptions</w:t>
      </w:r>
      <w:r w:rsidRPr="00174A7E">
        <w:rPr>
          <w:rFonts w:ascii="Cambria" w:hAnsi="Cambria" w:cs="Times New Roman"/>
          <w:sz w:val="24"/>
        </w:rPr>
        <w:t>:</w:t>
      </w:r>
    </w:p>
    <w:p w14:paraId="5A6A4D7C" w14:textId="28E5D985" w:rsidR="00F82580" w:rsidRPr="00174A7E" w:rsidRDefault="00F82580" w:rsidP="00174A7E">
      <w:pPr>
        <w:numPr>
          <w:ilvl w:val="0"/>
          <w:numId w:val="4"/>
        </w:numPr>
        <w:spacing w:line="480" w:lineRule="auto"/>
        <w:jc w:val="both"/>
        <w:rPr>
          <w:rFonts w:ascii="Times New Roman" w:hAnsi="Times New Roman" w:cs="Times New Roman"/>
        </w:rPr>
      </w:pPr>
      <w:r w:rsidRPr="00174A7E">
        <w:rPr>
          <w:rFonts w:ascii="Times New Roman" w:hAnsi="Times New Roman" w:cs="Times New Roman"/>
          <w:sz w:val="22"/>
        </w:rPr>
        <w:t>Initial Investment: $5 million</w:t>
      </w:r>
      <w:r w:rsidRPr="00174A7E">
        <w:rPr>
          <w:rFonts w:ascii="Times New Roman" w:hAnsi="Times New Roman" w:cs="Tahoma"/>
          <w:sz w:val="22"/>
        </w:rPr>
      </w:r>
      <w:r w:rsidRPr="00174A7E">
        <w:rPr>
          <w:rFonts w:ascii="Times New Roman" w:hAnsi="Times New Roman" w:cs="Times New Roman"/>
          <w:sz w:val="22"/>
        </w:rPr>
        <w:t xml:space="preserve"> (Year 0)</w:t>
      </w:r>
    </w:p>
    <w:p w14:paraId="0A90C8E6" w14:textId="14D69764"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Revenue Projections:</w:t>
      </w:r>
    </w:p>
    <w:p w14:paraId="6F77E3A9" w14:textId="77777777" w:rsidR="00F82580" w:rsidRPr="00174A7E" w:rsidRDefault="00F82580" w:rsidP="00174A7E">
      <w:pPr>
        <w:numPr>
          <w:ilvl w:val="0"/>
          <w:numId w:val="4"/>
        </w:numPr>
        <w:spacing w:line="480" w:lineRule="auto"/>
        <w:jc w:val="both"/>
        <w:rPr>
          <w:rFonts w:ascii="Times New Roman" w:hAnsi="Times New Roman" w:cs="Times New Roman"/>
        </w:rPr>
      </w:pPr>
      <w:r w:rsidRPr="00174A7E">
        <w:rPr>
          <w:rFonts w:ascii="Times New Roman" w:hAnsi="Times New Roman" w:cs="Times New Roman"/>
          <w:sz w:val="22"/>
        </w:rPr>
        <w:t>Y1: $2M, Y2: $4M, Y3: $5M, Y4: $5.5M, Y5: $6M</w:t>
      </w:r>
    </w:p>
    <w:p w14:paraId="6565CEDE" w14:textId="77777777" w:rsidR="00F82580" w:rsidRPr="00174A7E" w:rsidRDefault="00F82580" w:rsidP="00174A7E">
      <w:pPr>
        <w:spacing w:line="480" w:lineRule="auto"/>
        <w:ind w:left="360"/>
        <w:rPr>
          <w:rFonts w:ascii="Times New Roman" w:hAnsi="Times New Roman" w:cs="Times New Roman"/>
        </w:rPr>
      </w:pPr>
    </w:p>
    <w:p w14:paraId="4C2827C5" w14:textId="3FE90406" w:rsidR="00F82580" w:rsidRPr="00174A7E" w:rsidRDefault="00F82580" w:rsidP="00174A7E">
      <w:pPr>
        <w:numPr>
          <w:ilvl w:val="0"/>
          <w:numId w:val="4"/>
        </w:numPr>
        <w:spacing w:line="480" w:lineRule="auto"/>
        <w:jc w:val="both"/>
        <w:rPr>
          <w:rFonts w:ascii="Times New Roman" w:hAnsi="Times New Roman" w:cs="Times New Roman"/>
        </w:rPr>
      </w:pPr>
      <w:r w:rsidRPr="00174A7E">
        <w:rPr>
          <w:rFonts w:ascii="Times New Roman" w:hAnsi="Times New Roman" w:cs="Times New Roman"/>
          <w:sz w:val="22"/>
        </w:rPr>
        <w:t>Operating Costs: 60% of revenue annually</w:t>
      </w:r>
    </w:p>
    <w:p w14:paraId="4E6238A4" w14:textId="53D857E5" w:rsidR="00F82580" w:rsidRPr="00174A7E" w:rsidRDefault="00F82580" w:rsidP="00174A7E">
      <w:pPr>
        <w:numPr>
          <w:ilvl w:val="0"/>
          <w:numId w:val="4"/>
        </w:numPr>
        <w:spacing w:line="480" w:lineRule="auto"/>
        <w:jc w:val="both"/>
        <w:rPr>
          <w:rFonts w:ascii="Times New Roman" w:hAnsi="Times New Roman" w:cs="Times New Roman"/>
        </w:rPr>
      </w:pPr>
      <w:r w:rsidRPr="00174A7E">
        <w:rPr>
          <w:rFonts w:ascii="Times New Roman" w:hAnsi="Times New Roman" w:cs="Times New Roman"/>
          <w:sz w:val="22"/>
        </w:rPr>
        <w:t>Depreciation: Straight line over 5</w:t>
      </w:r>
      <w:r w:rsidRPr="00174A7E">
        <w:rPr>
          <w:rFonts w:ascii="Times New Roman" w:hAnsi="Times New Roman" w:cs="Tahoma"/>
          <w:sz w:val="22"/>
        </w:rPr>
      </w:r>
      <w:r w:rsidRPr="00174A7E">
        <w:rPr>
          <w:rFonts w:ascii="Times New Roman" w:hAnsi="Times New Roman" w:cs="Times New Roman"/>
          <w:sz w:val="22"/>
        </w:rPr>
        <w:t xml:space="preserve"> years ($1M/year)</w:t>
      </w:r>
    </w:p>
    <w:p w14:paraId="5C7BE9FD" w14:textId="18B398D9" w:rsidR="00F82580" w:rsidRPr="00174A7E" w:rsidRDefault="00F82580" w:rsidP="00174A7E">
      <w:pPr>
        <w:numPr>
          <w:ilvl w:val="0"/>
          <w:numId w:val="4"/>
        </w:numPr>
        <w:spacing w:line="480" w:lineRule="auto"/>
        <w:jc w:val="both"/>
        <w:rPr>
          <w:rFonts w:ascii="Times New Roman" w:hAnsi="Times New Roman" w:cs="Times New Roman"/>
        </w:rPr>
      </w:pPr>
      <w:r w:rsidRPr="00174A7E">
        <w:rPr>
          <w:rFonts w:ascii="Times New Roman" w:hAnsi="Times New Roman" w:cs="Times New Roman"/>
          <w:sz w:val="22"/>
        </w:rPr>
        <w:t>Tax</w:t>
      </w:r>
      <w:r w:rsidRPr="00174A7E">
        <w:rPr>
          <w:rFonts w:ascii="Times New Roman" w:hAnsi="Times New Roman" w:cs="Tahoma"/>
          <w:sz w:val="22"/>
        </w:rPr>
      </w:r>
      <w:r w:rsidRPr="00174A7E">
        <w:rPr>
          <w:rFonts w:ascii="Times New Roman" w:hAnsi="Times New Roman" w:cs="Times New Roman"/>
          <w:sz w:val="22"/>
        </w:rPr>
        <w:t xml:space="preserve"> Rate: 13%</w:t>
      </w:r>
    </w:p>
    <w:p w14:paraId="18CC8394" w14:textId="77777777" w:rsidR="00F82580" w:rsidRPr="00174A7E" w:rsidRDefault="00F82580" w:rsidP="00174A7E">
      <w:pPr>
        <w:numPr>
          <w:ilvl w:val="0"/>
          <w:numId w:val="4"/>
        </w:numPr>
        <w:spacing w:line="480" w:lineRule="auto"/>
        <w:jc w:val="both"/>
        <w:rPr>
          <w:rFonts w:ascii="Times New Roman" w:hAnsi="Times New Roman" w:cs="Times New Roman"/>
        </w:rPr>
      </w:pPr>
      <w:r w:rsidRPr="00174A7E">
        <w:rPr>
          <w:rFonts w:ascii="Times New Roman" w:hAnsi="Times New Roman" w:cs="Times New Roman"/>
          <w:sz w:val="22"/>
        </w:rPr>
        <w:t>Salvage Value: $1M</w:t>
      </w:r>
      <w:r w:rsidRPr="00174A7E">
        <w:rPr>
          <w:rFonts w:ascii="Times New Roman" w:hAnsi="Times New Roman" w:cs="Tahoma"/>
          <w:sz w:val="22"/>
        </w:rPr>
      </w:r>
      <w:r w:rsidRPr="00174A7E">
        <w:rPr>
          <w:rFonts w:ascii="Times New Roman" w:hAnsi="Times New Roman" w:cs="Times New Roman"/>
          <w:sz w:val="22"/>
        </w:rPr>
        <w:t xml:space="preserve"> (Year 5,</w:t>
      </w:r>
      <w:r w:rsidRPr="00174A7E">
        <w:rPr>
          <w:rFonts w:ascii="Times New Roman" w:hAnsi="Times New Roman" w:cs="Tahoma"/>
          <w:sz w:val="22"/>
        </w:rPr>
      </w:r>
      <w:r w:rsidRPr="00174A7E">
        <w:rPr>
          <w:rFonts w:ascii="Times New Roman" w:hAnsi="Times New Roman" w:cs="Times New Roman"/>
          <w:sz w:val="22"/>
        </w:rPr>
        <w:t xml:space="preserve"> fully depreciated, thus no tax impact)</w:t>
      </w:r>
    </w:p>
    <w:p w14:paraId="0BDB441C" w14:textId="77777777" w:rsidR="00F82580" w:rsidRPr="00F82580" w:rsidRDefault="00F82580" w:rsidP="00174A7E">
      <w:pPr>
        <w:spacing w:line="480" w:lineRule="auto"/>
        <w:ind w:left="360"/>
        <w:jc w:val="both"/>
        <w:rPr>
          <w:rFonts w:ascii="Times New Roman" w:hAnsi="Times New Roman" w:cs="Times New Roman"/>
        </w:rPr>
      </w:pPr>
      <w:r w:rsidRPr="00F82580">
        <w:rPr>
          <w:rFonts w:ascii="Times New Roman" w:hAnsi="Times New Roman" w:cs="Times New Roman"/>
          <w:sz w:val="22"/>
        </w:rPr>
        <w:t>EBIT, Net Income, OCF, and FCF Calculations</w:t>
      </w:r>
    </w:p>
    <w:tbl>
      <w:tblPr>
        <w:tblStyle w:val="TableGrid"/>
        <w:tblW w:w="0" w:type="auto"/>
        <w:jc w:val="center"/>
        <w:tblInd w:w="360" w:type="dxa"/>
        <w:tblLook w:val="04A0" w:firstRow="1" w:lastRow="0" w:firstColumn="1" w:lastColumn="0" w:noHBand="0" w:noVBand="1"/>
      </w:tblPr>
      <w:tblGrid>
        <w:gridCol w:w="929"/>
        <w:gridCol w:w="1056"/>
        <w:gridCol w:w="955"/>
        <w:gridCol w:w="1019"/>
        <w:gridCol w:w="955"/>
        <w:gridCol w:w="1019"/>
        <w:gridCol w:w="1019"/>
        <w:gridCol w:w="1019"/>
        <w:gridCol w:w="1019"/>
      </w:tblGrid>
      <w:tr w:rsidR="00F82580" w:rsidRPr="00174A7E" w14:paraId="418F429C" w14:textId="77777777" w:rsidTr="00F82580">
        <w:tc>
          <w:tcPr>
            <w:tcW w:w="1038" w:type="dxa"/>
            <w:vAlign w:val="center"/>
          </w:tcPr>
          <w:p w14:paraId="0AD51531"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Year</w:t>
            </w:r>
          </w:p>
        </w:tc>
        <w:tc>
          <w:tcPr>
            <w:tcW w:w="1039" w:type="dxa"/>
            <w:vAlign w:val="center"/>
          </w:tcPr>
          <w:p w14:paraId="2B9AC00F"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Revenue</w:t>
            </w:r>
          </w:p>
        </w:tc>
        <w:tc>
          <w:tcPr>
            <w:tcW w:w="1039" w:type="dxa"/>
            <w:vAlign w:val="center"/>
          </w:tcPr>
          <w:p w14:paraId="6AC6CF52"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Op. Costs</w:t>
            </w:r>
          </w:p>
        </w:tc>
        <w:tc>
          <w:tcPr>
            <w:tcW w:w="1039" w:type="dxa"/>
            <w:vAlign w:val="center"/>
          </w:tcPr>
          <w:p w14:paraId="680C6EC1"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Deprec.</w:t>
            </w:r>
          </w:p>
        </w:tc>
        <w:tc>
          <w:tcPr>
            <w:tcW w:w="1039" w:type="dxa"/>
            <w:vAlign w:val="center"/>
          </w:tcPr>
          <w:p w14:paraId="4001C698"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EBIT</w:t>
            </w:r>
          </w:p>
        </w:tc>
        <w:tc>
          <w:tcPr>
            <w:tcW w:w="1039" w:type="dxa"/>
            <w:vAlign w:val="center"/>
          </w:tcPr>
          <w:p w14:paraId="1F2C7EF3"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Taxes (13%)</w:t>
            </w:r>
          </w:p>
        </w:tc>
        <w:tc>
          <w:tcPr>
            <w:tcW w:w="1039" w:type="dxa"/>
            <w:vAlign w:val="center"/>
          </w:tcPr>
          <w:p w14:paraId="090EFFEE"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Net Income</w:t>
            </w:r>
          </w:p>
        </w:tc>
        <w:tc>
          <w:tcPr>
            <w:tcW w:w="1039" w:type="dxa"/>
            <w:vAlign w:val="center"/>
          </w:tcPr>
          <w:p w14:paraId="1F7D0429"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OCF</w:t>
            </w:r>
          </w:p>
        </w:tc>
        <w:tc>
          <w:tcPr>
            <w:tcW w:w="1039" w:type="dxa"/>
            <w:vAlign w:val="center"/>
          </w:tcPr>
          <w:p w14:paraId="1A15634D"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b/>
                <w:sz w:val="21"/>
              </w:rPr>
              <w:t>FCF</w:t>
            </w:r>
          </w:p>
        </w:tc>
      </w:tr>
      <w:tr w:rsidR="00F82580" w:rsidRPr="00174A7E" w14:paraId="7959AD29" w14:textId="77777777" w:rsidTr="00F82580">
        <w:tc>
          <w:tcPr>
            <w:tcW w:w="1038" w:type="dxa"/>
            <w:vAlign w:val="center"/>
          </w:tcPr>
          <w:p w14:paraId="2FFB3902"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w:t>
            </w:r>
          </w:p>
        </w:tc>
        <w:tc>
          <w:tcPr>
            <w:tcW w:w="1039" w:type="dxa"/>
            <w:vAlign w:val="center"/>
          </w:tcPr>
          <w:p w14:paraId="53C6CF80"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0D13502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38F76653"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061D5CCA"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2F7D74AB"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7AF1A24D"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22EC708A"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 xml:space="preserve"> </w:t>
            </w:r>
          </w:p>
        </w:tc>
        <w:tc>
          <w:tcPr>
            <w:tcW w:w="1039" w:type="dxa"/>
            <w:vAlign w:val="center"/>
          </w:tcPr>
          <w:p w14:paraId="63A62EAE"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negative 5M</w:t>
            </w:r>
          </w:p>
        </w:tc>
      </w:tr>
      <w:tr w:rsidR="00F82580" w:rsidRPr="00174A7E" w14:paraId="2F4BB86F" w14:textId="77777777" w:rsidTr="00F82580">
        <w:tc>
          <w:tcPr>
            <w:tcW w:w="1038" w:type="dxa"/>
            <w:vAlign w:val="center"/>
          </w:tcPr>
          <w:p w14:paraId="005509F1"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w:t>
            </w:r>
          </w:p>
        </w:tc>
        <w:tc>
          <w:tcPr>
            <w:tcW w:w="1039" w:type="dxa"/>
            <w:vAlign w:val="center"/>
          </w:tcPr>
          <w:p w14:paraId="596B0265"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2M</w:t>
            </w:r>
          </w:p>
        </w:tc>
        <w:tc>
          <w:tcPr>
            <w:tcW w:w="1039" w:type="dxa"/>
            <w:vAlign w:val="center"/>
          </w:tcPr>
          <w:p w14:paraId="7947BE19"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1.2M</w:t>
            </w:r>
          </w:p>
        </w:tc>
        <w:tc>
          <w:tcPr>
            <w:tcW w:w="1039" w:type="dxa"/>
            <w:vAlign w:val="center"/>
          </w:tcPr>
          <w:p w14:paraId="5054B267"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1M</w:t>
            </w:r>
          </w:p>
        </w:tc>
        <w:tc>
          <w:tcPr>
            <w:tcW w:w="1039" w:type="dxa"/>
            <w:vAlign w:val="center"/>
          </w:tcPr>
          <w:p w14:paraId="5C4CF3DB"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negative 0.2M</w:t>
            </w:r>
          </w:p>
        </w:tc>
        <w:tc>
          <w:tcPr>
            <w:tcW w:w="1039" w:type="dxa"/>
            <w:vAlign w:val="center"/>
          </w:tcPr>
          <w:p w14:paraId="0F33FB9E"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w:t>
            </w:r>
          </w:p>
        </w:tc>
        <w:tc>
          <w:tcPr>
            <w:tcW w:w="1039" w:type="dxa"/>
            <w:vAlign w:val="center"/>
          </w:tcPr>
          <w:p w14:paraId="584894D1"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negative 0.2M</w:t>
            </w:r>
          </w:p>
        </w:tc>
        <w:tc>
          <w:tcPr>
            <w:tcW w:w="1039" w:type="dxa"/>
            <w:vAlign w:val="center"/>
          </w:tcPr>
          <w:p w14:paraId="73820D82"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0.8M</w:t>
            </w:r>
          </w:p>
        </w:tc>
        <w:tc>
          <w:tcPr>
            <w:tcW w:w="1039" w:type="dxa"/>
            <w:vAlign w:val="center"/>
          </w:tcPr>
          <w:p w14:paraId="5F4D3088"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0.8M</w:t>
            </w:r>
          </w:p>
        </w:tc>
      </w:tr>
      <w:tr w:rsidR="00F82580" w:rsidRPr="00174A7E" w14:paraId="3FEE85E8" w14:textId="77777777" w:rsidTr="00F82580">
        <w:tc>
          <w:tcPr>
            <w:tcW w:w="1038" w:type="dxa"/>
            <w:vAlign w:val="center"/>
          </w:tcPr>
          <w:p w14:paraId="06EF4ACD"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2</w:t>
            </w:r>
          </w:p>
        </w:tc>
        <w:tc>
          <w:tcPr>
            <w:tcW w:w="1039" w:type="dxa"/>
            <w:vAlign w:val="center"/>
          </w:tcPr>
          <w:p w14:paraId="25155119"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4M</w:t>
            </w:r>
          </w:p>
        </w:tc>
        <w:tc>
          <w:tcPr>
            <w:tcW w:w="1039" w:type="dxa"/>
            <w:vAlign w:val="center"/>
          </w:tcPr>
          <w:p w14:paraId="3DD4EF85"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2.4M</w:t>
            </w:r>
          </w:p>
        </w:tc>
        <w:tc>
          <w:tcPr>
            <w:tcW w:w="1039" w:type="dxa"/>
            <w:vAlign w:val="center"/>
          </w:tcPr>
          <w:p w14:paraId="2CF58713"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1M</w:t>
            </w:r>
          </w:p>
        </w:tc>
        <w:tc>
          <w:tcPr>
            <w:tcW w:w="1039" w:type="dxa"/>
            <w:vAlign w:val="center"/>
          </w:tcPr>
          <w:p w14:paraId="624BC1D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0.6M</w:t>
            </w:r>
          </w:p>
        </w:tc>
        <w:tc>
          <w:tcPr>
            <w:tcW w:w="1039" w:type="dxa"/>
            <w:vAlign w:val="center"/>
          </w:tcPr>
          <w:p w14:paraId="0F590C96"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0.078M</w:t>
            </w:r>
          </w:p>
        </w:tc>
        <w:tc>
          <w:tcPr>
            <w:tcW w:w="1039" w:type="dxa"/>
            <w:vAlign w:val="center"/>
          </w:tcPr>
          <w:p w14:paraId="66448D0A"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0.522M</w:t>
            </w:r>
          </w:p>
        </w:tc>
        <w:tc>
          <w:tcPr>
            <w:tcW w:w="1039" w:type="dxa"/>
            <w:vAlign w:val="center"/>
          </w:tcPr>
          <w:p w14:paraId="6EE39B76"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1.522M</w:t>
            </w:r>
          </w:p>
        </w:tc>
        <w:tc>
          <w:tcPr>
            <w:tcW w:w="1039" w:type="dxa"/>
            <w:vAlign w:val="center"/>
          </w:tcPr>
          <w:p w14:paraId="2CCFEE1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1.522M</w:t>
            </w:r>
          </w:p>
        </w:tc>
      </w:tr>
      <w:tr w:rsidR="00F82580" w:rsidRPr="00174A7E" w14:paraId="48186B42" w14:textId="77777777" w:rsidTr="00F82580">
        <w:tc>
          <w:tcPr>
            <w:tcW w:w="1038" w:type="dxa"/>
            <w:vAlign w:val="center"/>
          </w:tcPr>
          <w:p w14:paraId="3C93F80A"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3</w:t>
            </w:r>
          </w:p>
        </w:tc>
        <w:tc>
          <w:tcPr>
            <w:tcW w:w="1039" w:type="dxa"/>
            <w:vAlign w:val="center"/>
          </w:tcPr>
          <w:p w14:paraId="139F5A8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5M</w:t>
            </w:r>
          </w:p>
        </w:tc>
        <w:tc>
          <w:tcPr>
            <w:tcW w:w="1039" w:type="dxa"/>
            <w:vAlign w:val="center"/>
          </w:tcPr>
          <w:p w14:paraId="63616833"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3M</w:t>
            </w:r>
          </w:p>
        </w:tc>
        <w:tc>
          <w:tcPr>
            <w:tcW w:w="1039" w:type="dxa"/>
            <w:vAlign w:val="center"/>
          </w:tcPr>
          <w:p w14:paraId="2AE76756"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1M</w:t>
            </w:r>
          </w:p>
        </w:tc>
        <w:tc>
          <w:tcPr>
            <w:tcW w:w="1039" w:type="dxa"/>
            <w:vAlign w:val="center"/>
          </w:tcPr>
          <w:p w14:paraId="0A741CE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1M</w:t>
            </w:r>
          </w:p>
        </w:tc>
        <w:tc>
          <w:tcPr>
            <w:tcW w:w="1039" w:type="dxa"/>
            <w:vAlign w:val="center"/>
          </w:tcPr>
          <w:p w14:paraId="23863293"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0.13M</w:t>
            </w:r>
          </w:p>
        </w:tc>
        <w:tc>
          <w:tcPr>
            <w:tcW w:w="1039" w:type="dxa"/>
            <w:vAlign w:val="center"/>
          </w:tcPr>
          <w:p w14:paraId="6E4EE4A7"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0.87M</w:t>
            </w:r>
          </w:p>
        </w:tc>
        <w:tc>
          <w:tcPr>
            <w:tcW w:w="1039" w:type="dxa"/>
            <w:vAlign w:val="center"/>
          </w:tcPr>
          <w:p w14:paraId="63A6BDC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1.87M</w:t>
            </w:r>
          </w:p>
        </w:tc>
        <w:tc>
          <w:tcPr>
            <w:tcW w:w="1039" w:type="dxa"/>
            <w:vAlign w:val="center"/>
          </w:tcPr>
          <w:p w14:paraId="0ECC20F1"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1.87M</w:t>
            </w:r>
          </w:p>
        </w:tc>
      </w:tr>
      <w:tr w:rsidR="00F82580" w:rsidRPr="00174A7E" w14:paraId="74A9863B" w14:textId="77777777" w:rsidTr="00F82580">
        <w:tc>
          <w:tcPr>
            <w:tcW w:w="1038" w:type="dxa"/>
            <w:vAlign w:val="center"/>
          </w:tcPr>
          <w:p w14:paraId="6BD7952C"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4</w:t>
            </w:r>
          </w:p>
        </w:tc>
        <w:tc>
          <w:tcPr>
            <w:tcW w:w="1039" w:type="dxa"/>
            <w:vAlign w:val="center"/>
          </w:tcPr>
          <w:p w14:paraId="48829CCA"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5.5M</w:t>
            </w:r>
          </w:p>
        </w:tc>
        <w:tc>
          <w:tcPr>
            <w:tcW w:w="1039" w:type="dxa"/>
            <w:vAlign w:val="center"/>
          </w:tcPr>
          <w:p w14:paraId="55C5C91F"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3.3M</w:t>
            </w:r>
          </w:p>
        </w:tc>
        <w:tc>
          <w:tcPr>
            <w:tcW w:w="1039" w:type="dxa"/>
            <w:vAlign w:val="center"/>
          </w:tcPr>
          <w:p w14:paraId="1FC19F01"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1M</w:t>
            </w:r>
          </w:p>
        </w:tc>
        <w:tc>
          <w:tcPr>
            <w:tcW w:w="1039" w:type="dxa"/>
            <w:vAlign w:val="center"/>
          </w:tcPr>
          <w:p w14:paraId="61FD9CB0"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1.2M</w:t>
            </w:r>
          </w:p>
        </w:tc>
        <w:tc>
          <w:tcPr>
            <w:tcW w:w="1039" w:type="dxa"/>
            <w:vAlign w:val="center"/>
          </w:tcPr>
          <w:p w14:paraId="5970F609"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0.156M</w:t>
            </w:r>
          </w:p>
        </w:tc>
        <w:tc>
          <w:tcPr>
            <w:tcW w:w="1039" w:type="dxa"/>
            <w:vAlign w:val="center"/>
          </w:tcPr>
          <w:p w14:paraId="5D9B98E6"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1.044M</w:t>
            </w:r>
          </w:p>
        </w:tc>
        <w:tc>
          <w:tcPr>
            <w:tcW w:w="1039" w:type="dxa"/>
            <w:vAlign w:val="center"/>
          </w:tcPr>
          <w:p w14:paraId="3545A365"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2.044M</w:t>
            </w:r>
          </w:p>
        </w:tc>
        <w:tc>
          <w:tcPr>
            <w:tcW w:w="1039" w:type="dxa"/>
            <w:vAlign w:val="center"/>
          </w:tcPr>
          <w:p w14:paraId="4B9A2C7D"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2.044M</w:t>
            </w:r>
          </w:p>
        </w:tc>
      </w:tr>
      <w:tr w:rsidR="00F82580" w:rsidRPr="00174A7E" w14:paraId="31C88785" w14:textId="77777777" w:rsidTr="00F82580">
        <w:tc>
          <w:tcPr>
            <w:tcW w:w="1038" w:type="dxa"/>
            <w:vAlign w:val="center"/>
          </w:tcPr>
          <w:p w14:paraId="268F88EF"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5</w:t>
            </w:r>
          </w:p>
        </w:tc>
        <w:tc>
          <w:tcPr>
            <w:tcW w:w="1039" w:type="dxa"/>
            <w:vAlign w:val="center"/>
          </w:tcPr>
          <w:p w14:paraId="6B850A45"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6M</w:t>
            </w:r>
          </w:p>
        </w:tc>
        <w:tc>
          <w:tcPr>
            <w:tcW w:w="1039" w:type="dxa"/>
            <w:vAlign w:val="center"/>
          </w:tcPr>
          <w:p w14:paraId="69E7E3E9"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3.6M</w:t>
            </w:r>
          </w:p>
        </w:tc>
        <w:tc>
          <w:tcPr>
            <w:tcW w:w="1039" w:type="dxa"/>
            <w:vAlign w:val="center"/>
          </w:tcPr>
          <w:p w14:paraId="001F62C0"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1M</w:t>
            </w:r>
          </w:p>
        </w:tc>
        <w:tc>
          <w:tcPr>
            <w:tcW w:w="1039" w:type="dxa"/>
            <w:vAlign w:val="center"/>
          </w:tcPr>
          <w:p w14:paraId="4F1C11F4"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1.4M</w:t>
            </w:r>
          </w:p>
        </w:tc>
        <w:tc>
          <w:tcPr>
            <w:tcW w:w="1039" w:type="dxa"/>
            <w:vAlign w:val="center"/>
          </w:tcPr>
          <w:p w14:paraId="02E98BF2"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0.182M</w:t>
            </w:r>
          </w:p>
        </w:tc>
        <w:tc>
          <w:tcPr>
            <w:tcW w:w="1039" w:type="dxa"/>
            <w:vAlign w:val="center"/>
          </w:tcPr>
          <w:p w14:paraId="54AA7DA8"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1.218M</w:t>
            </w:r>
          </w:p>
        </w:tc>
        <w:tc>
          <w:tcPr>
            <w:tcW w:w="1039" w:type="dxa"/>
            <w:vAlign w:val="center"/>
          </w:tcPr>
          <w:p w14:paraId="2BA37F76"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2.218M</w:t>
            </w:r>
          </w:p>
        </w:tc>
        <w:tc>
          <w:tcPr>
            <w:tcW w:w="1039" w:type="dxa"/>
            <w:vAlign w:val="center"/>
          </w:tcPr>
          <w:p w14:paraId="3A5D8BCA" w14:textId="77777777" w:rsidR="00F82580" w:rsidRPr="00174A7E" w:rsidRDefault="00F82580" w:rsidP="00174A7E">
            <w:pPr>
              <w:spacing w:line="480" w:lineRule="auto"/>
              <w:jc w:val="left"/>
              <w:rPr>
                <w:rFonts w:ascii="Times New Roman" w:hAnsi="Times New Roman" w:cs="Times New Roman"/>
              </w:rPr>
            </w:pPr>
            <w:r w:rsidRPr="00F82580">
              <w:rPr>
                <w:rFonts w:ascii="Times New Roman" w:hAnsi="Times New Roman" w:cs="Times New Roman"/>
                <w:sz w:val="21"/>
              </w:rPr>
              <w:t>3.218M</w:t>
            </w:r>
          </w:p>
        </w:tc>
      </w:tr>
    </w:tbl>
    <w:p w14:paraId="60F49BDF" w14:textId="77777777" w:rsidR="00F82580" w:rsidRPr="00F82580" w:rsidRDefault="00F82580" w:rsidP="00174A7E">
      <w:pPr>
        <w:spacing w:line="480" w:lineRule="auto"/>
        <w:ind w:left="360"/>
        <w:rPr>
          <w:rFonts w:ascii="Times New Roman" w:hAnsi="Times New Roman" w:cs="Times New Roman"/>
        </w:rPr>
      </w:pPr>
    </w:p>
    <w:p w14:paraId="230C9C65" w14:textId="79A6281F" w:rsidR="00F82580" w:rsidRPr="00174A7E" w:rsidRDefault="00F82580" w:rsidP="00174A7E">
      <w:pPr>
        <w:spacing w:line="480" w:lineRule="auto"/>
        <w:ind w:left="360"/>
        <w:jc w:val="both"/>
        <w:rPr>
          <w:rFonts w:ascii="Times New Roman" w:hAnsi="Times New Roman" w:cs="Times New Roman"/>
        </w:rPr>
      </w:pPr>
      <w:r w:rsidRPr="00F82580">
        <w:rPr>
          <w:rFonts w:ascii="Times New Roman" w:hAnsi="Times New Roman" w:cs="Times New Roman"/>
          <w:sz w:val="22"/>
        </w:rPr>
        <w:t>(Year 5 FCF includes $1M salvage value)</w:t>
      </w:r>
      <w:r w:rsidRPr="00174A7E">
        <w:rPr>
          <w:rFonts w:ascii="Times New Roman" w:hAnsi="Times New Roman" w:cs="Times New Roman"/>
          <w:sz w:val="22"/>
        </w:rPr>
      </w:r>
    </w:p>
    <w:p w14:paraId="2EF827E5" w14:textId="77777777" w:rsidR="00F82580" w:rsidRPr="00174A7E" w:rsidRDefault="00F82580" w:rsidP="00174A7E">
      <w:pPr>
        <w:spacing w:line="480" w:lineRule="auto"/>
        <w:ind w:left="360"/>
        <w:rPr>
          <w:rFonts w:ascii="Times New Roman" w:hAnsi="Times New Roman" w:cs="Times New Roman"/>
        </w:rPr>
      </w:pPr>
    </w:p>
    <w:p w14:paraId="011F5343" w14:textId="77777777" w:rsidR="00F82580" w:rsidRPr="00174A7E" w:rsidRDefault="00F82580" w:rsidP="00174A7E">
      <w:pPr>
        <w:pStyle w:val="Heading1"/>
        <w:spacing w:line="480" w:lineRule="auto"/>
        <w:ind w:left="360"/>
        <w:jc w:val="left"/>
        <w:rPr>
          <w:rFonts w:ascii="Times New Roman" w:hAnsi="Times New Roman" w:cs="Times New Roman"/>
        </w:rPr>
      </w:pPr>
      <w:r w:rsidRPr="00174A7E">
        <w:rPr>
          <w:rFonts w:ascii="Cambria" w:hAnsi="Cambria" w:cs="Times New Roman"/>
          <w:sz w:val="28"/>
        </w:rPr>
        <w:t>4. Financial Analysis</w:t>
      </w:r>
    </w:p>
    <w:p w14:paraId="29C9E75D"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NPV Calculation</w:t>
      </w:r>
    </w:p>
    <w:p w14:paraId="41BDB334" w14:textId="77777777"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Using WACC = 16.46%:</w:t>
      </w:r>
    </w:p>
    <w:p w14:paraId="2549B473" w14:textId="3E333AEB"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w:t>
      </w:r>
      <w:r w:rsidRPr="00174A7E">
        <w:rPr>
          <w:rFonts w:ascii="Times New Roman" w:hAnsi="Times New Roman" w:cs="Tahoma"/>
          <w:sz w:val="22"/>
        </w:rPr>
      </w:r>
      <w:r w:rsidRPr="00174A7E">
        <w:rPr>
          <w:rFonts w:ascii="Times New Roman" w:hAnsi="Times New Roman" w:cs="Times New Roman"/>
          <w:sz w:val="22"/>
        </w:rPr>
        <w:t xml:space="preserve"> 0.686 +</w:t>
      </w:r>
      <w:r w:rsidRPr="00174A7E">
        <w:rPr>
          <w:rFonts w:ascii="Times New Roman" w:hAnsi="Times New Roman" w:cs="Tahoma"/>
          <w:sz w:val="22"/>
        </w:rPr>
      </w:r>
      <w:r w:rsidRPr="00174A7E">
        <w:rPr>
          <w:rFonts w:ascii="Times New Roman" w:hAnsi="Times New Roman" w:cs="Times New Roman"/>
          <w:sz w:val="22"/>
        </w:rPr>
        <w:t xml:space="preserve"> 1.122 +</w:t>
      </w:r>
      <w:r w:rsidRPr="00174A7E">
        <w:rPr>
          <w:rFonts w:ascii="Times New Roman" w:hAnsi="Times New Roman" w:cs="Tahoma"/>
          <w:sz w:val="22"/>
        </w:rPr>
      </w:r>
      <w:r w:rsidRPr="00174A7E">
        <w:rPr>
          <w:rFonts w:ascii="Times New Roman" w:hAnsi="Times New Roman" w:cs="Times New Roman"/>
          <w:sz w:val="22"/>
        </w:rPr>
        <w:t xml:space="preserve"> 1.205 +</w:t>
      </w:r>
      <w:r w:rsidRPr="00174A7E">
        <w:rPr>
          <w:rFonts w:ascii="Times New Roman" w:hAnsi="Times New Roman" w:cs="Tahoma"/>
          <w:sz w:val="22"/>
        </w:rPr>
      </w:r>
      <w:r w:rsidRPr="00174A7E">
        <w:rPr>
          <w:rFonts w:ascii="Times New Roman" w:hAnsi="Times New Roman" w:cs="Times New Roman"/>
          <w:sz w:val="22"/>
        </w:rPr>
        <w:t xml:space="preserve"> 1.078 +</w:t>
      </w:r>
      <w:r w:rsidRPr="00174A7E">
        <w:rPr>
          <w:rFonts w:ascii="Times New Roman" w:hAnsi="Times New Roman" w:cs="Tahoma"/>
          <w:sz w:val="22"/>
        </w:rPr>
      </w:r>
      <w:r w:rsidRPr="00174A7E">
        <w:rPr>
          <w:rFonts w:ascii="Times New Roman" w:hAnsi="Times New Roman" w:cs="Times New Roman"/>
          <w:sz w:val="22"/>
        </w:rPr>
        <w:t xml:space="preserve"> 1.466 = **$5.56M**</w:t>
      </w:r>
    </w:p>
    <w:p w14:paraId="67154989" w14:textId="4E68241C" w:rsidR="00F82580" w:rsidRPr="00174A7E" w:rsidRDefault="00F82580" w:rsidP="00174A7E">
      <w:pPr>
        <w:pStyle w:val="Heading2"/>
        <w:spacing w:line="480" w:lineRule="auto"/>
        <w:ind w:left="360"/>
        <w:jc w:val="left"/>
        <w:rPr>
          <w:rFonts w:ascii="Times New Roman" w:hAnsi="Times New Roman" w:cs="Times New Roman"/>
        </w:rPr>
      </w:pPr>
      <w:r w:rsidRPr="00174A7E">
        <w:rPr>
          <w:rFonts w:ascii="Cambria" w:hAnsi="Cambria" w:cs="Times New Roman"/>
          <w:sz w:val="24"/>
        </w:rPr>
        <w:t>NPV &gt; 0 → Accept</w:t>
      </w:r>
    </w:p>
    <w:p w14:paraId="36B30614"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IRR Calculation</w:t>
      </w:r>
    </w:p>
    <w:p w14:paraId="6276836F" w14:textId="0C3E1EBE"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Using</w:t>
      </w:r>
      <w:r w:rsidRPr="00174A7E">
        <w:rPr>
          <w:rFonts w:ascii="Times New Roman" w:hAnsi="Times New Roman" w:cs="Tahoma"/>
          <w:sz w:val="22"/>
        </w:rPr>
      </w:r>
      <w:r w:rsidRPr="00174A7E">
        <w:rPr>
          <w:rFonts w:ascii="Times New Roman" w:hAnsi="Times New Roman" w:cs="Times New Roman"/>
          <w:sz w:val="22"/>
        </w:rPr>
        <w:t xml:space="preserve"> Excel IRR function on FCFs:</w:t>
      </w:r>
    </w:p>
    <w:p w14:paraId="648CAF09" w14:textId="462E06F6"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IRR ≈ 35%</w:t>
      </w:r>
    </w:p>
    <w:p w14:paraId="6BC46E38" w14:textId="6ECDDE16" w:rsidR="00F82580" w:rsidRPr="00174A7E" w:rsidRDefault="00F82580" w:rsidP="00174A7E">
      <w:pPr>
        <w:pStyle w:val="Heading2"/>
        <w:spacing w:line="480" w:lineRule="auto"/>
        <w:ind w:left="360"/>
        <w:jc w:val="left"/>
        <w:rPr>
          <w:rFonts w:ascii="Times New Roman" w:hAnsi="Times New Roman" w:cs="Times New Roman"/>
        </w:rPr>
      </w:pPr>
      <w:r w:rsidRPr="00174A7E">
        <w:rPr>
          <w:rFonts w:ascii="Cambria" w:hAnsi="Cambria" w:cs="Times New Roman"/>
          <w:sz w:val="24"/>
        </w:rPr>
        <w:t>IRR &gt; WACC → Accept</w:t>
      </w:r>
    </w:p>
    <w:p w14:paraId="69C559CB"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Payback Period</w:t>
      </w:r>
    </w:p>
    <w:p w14:paraId="1158BDC3" w14:textId="6ACDE036"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Cumulative cash flow becomes positive in Year 3</w:t>
      </w:r>
      <w:r w:rsidRPr="00174A7E">
        <w:rPr>
          <w:rFonts w:ascii="Times New Roman" w:hAnsi="Times New Roman" w:cs="Tahoma"/>
          <w:sz w:val="22"/>
        </w:rPr>
      </w:r>
      <w:r w:rsidRPr="00174A7E">
        <w:rPr>
          <w:rFonts w:ascii="Times New Roman" w:hAnsi="Times New Roman" w:cs="Times New Roman"/>
          <w:sz w:val="22"/>
        </w:rPr>
        <w:t xml:space="preserve"> (~2.2 years).</w:t>
      </w:r>
    </w:p>
    <w:p w14:paraId="1474A833" w14:textId="77777777"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i/>
          <w:iCs/>
          <w:sz w:val="22"/>
        </w:rPr>
        <w:t>Alternative Technique:</w:t>
      </w:r>
      <w:r w:rsidRPr="00174A7E">
        <w:rPr>
          <w:rFonts w:ascii="Times New Roman" w:hAnsi="Times New Roman" w:cs="Times New Roman"/>
          <w:sz w:val="22"/>
        </w:rPr>
        <w:t xml:space="preserve"> Profitability Index</w:t>
      </w:r>
    </w:p>
    <w:p w14:paraId="15380C57" w14:textId="77777777"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 xml:space="preserve"> = </w:t>
      </w:r>
    </w:p>
    <w:p w14:paraId="4FCF91EB" w14:textId="4505F044"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5M</w:t>
      </w:r>
      <w:r w:rsidRPr="00174A7E">
        <w:rPr>
          <w:rFonts w:ascii="Times New Roman" w:hAnsi="Times New Roman" w:cs="Times New Roman"/>
          <w:sz w:val="22"/>
        </w:rPr>
        <w:t>+</w:t>
      </w:r>
      <w:r w:rsidRPr="00174A7E">
        <w:rPr>
          <w:rFonts w:ascii="Times New Roman" w:hAnsi="Times New Roman" w:cs="Times New Roman"/>
          <w:sz w:val="22"/>
        </w:rPr>
        <w:t>5.56M</w:t>
      </w:r>
      <w:r w:rsidRPr="00174A7E">
        <w:rPr>
          <w:rFonts w:ascii="Times New Roman" w:hAnsi="Times New Roman" w:cs="Times New Roman"/>
          <w:sz w:val="22"/>
        </w:rPr>
        <w:t>/</w:t>
      </w:r>
      <w:r w:rsidRPr="00174A7E">
        <w:rPr>
          <w:rFonts w:ascii="Times New Roman" w:hAnsi="Times New Roman" w:cs="Times New Roman"/>
          <w:sz w:val="22"/>
        </w:rPr>
        <w:t>5M</w:t>
      </w:r>
    </w:p>
    <w:p w14:paraId="35F16576" w14:textId="0FDF3813"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 xml:space="preserve"> =2.11</w:t>
      </w:r>
    </w:p>
    <w:p w14:paraId="6985F210" w14:textId="0176DC71" w:rsidR="00F82580" w:rsidRPr="00174A7E" w:rsidRDefault="00F82580" w:rsidP="00174A7E">
      <w:pPr>
        <w:pStyle w:val="Heading2"/>
        <w:spacing w:line="480" w:lineRule="auto"/>
        <w:ind w:left="360"/>
        <w:jc w:val="left"/>
        <w:rPr>
          <w:rFonts w:ascii="Times New Roman" w:hAnsi="Times New Roman" w:cs="Times New Roman"/>
        </w:rPr>
      </w:pPr>
      <w:r w:rsidRPr="00174A7E">
        <w:rPr>
          <w:rFonts w:ascii="Cambria" w:hAnsi="Cambria" w:cs="Times New Roman"/>
          <w:sz w:val="24"/>
        </w:rPr>
        <w:t>PI &gt; 1 → Accept</w:t>
      </w:r>
    </w:p>
    <w:p w14:paraId="52A442D4"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Scenario Analysis</w:t>
      </w:r>
    </w:p>
    <w:p w14:paraId="02A491E4" w14:textId="47F37C9E"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Revenue Scenarios</w:t>
      </w:r>
      <w:r w:rsidRPr="00174A7E">
        <w:rPr>
          <w:rFonts w:ascii="Times New Roman" w:hAnsi="Times New Roman" w:cs="Times New Roman"/>
          <w:sz w:val="22"/>
        </w:rPr>
        <w:t>:</w:t>
      </w:r>
    </w:p>
    <w:p w14:paraId="30BAC7FF" w14:textId="6300A19F" w:rsidR="00F82580" w:rsidRPr="00174A7E" w:rsidRDefault="00F82580" w:rsidP="00174A7E">
      <w:pPr>
        <w:numPr>
          <w:ilvl w:val="0"/>
          <w:numId w:val="5"/>
        </w:numPr>
        <w:spacing w:line="480" w:lineRule="auto"/>
        <w:jc w:val="both"/>
        <w:rPr>
          <w:rFonts w:ascii="Times New Roman" w:hAnsi="Times New Roman" w:cs="Times New Roman"/>
        </w:rPr>
      </w:pPr>
      <w:r w:rsidRPr="00174A7E">
        <w:rPr>
          <w:rFonts w:ascii="Times New Roman" w:hAnsi="Times New Roman" w:cs="Times New Roman"/>
          <w:sz w:val="22"/>
        </w:rPr>
        <w:t>Pessimistic: negative 20% revenues → NPV = $2.8M</w:t>
      </w:r>
    </w:p>
    <w:p w14:paraId="2E1C5158" w14:textId="2A454F78" w:rsidR="00F82580" w:rsidRPr="00174A7E" w:rsidRDefault="00F82580" w:rsidP="00174A7E">
      <w:pPr>
        <w:numPr>
          <w:ilvl w:val="0"/>
          <w:numId w:val="5"/>
        </w:numPr>
        <w:spacing w:line="480" w:lineRule="auto"/>
        <w:jc w:val="both"/>
        <w:rPr>
          <w:rFonts w:ascii="Times New Roman" w:hAnsi="Times New Roman" w:cs="Times New Roman"/>
        </w:rPr>
      </w:pPr>
      <w:r w:rsidRPr="00174A7E">
        <w:rPr>
          <w:rFonts w:ascii="Times New Roman" w:hAnsi="Times New Roman" w:cs="Times New Roman"/>
          <w:sz w:val="22"/>
        </w:rPr>
        <w:t>Base</w:t>
      </w:r>
      <w:r w:rsidRPr="00174A7E">
        <w:rPr>
          <w:rFonts w:ascii="Times New Roman" w:hAnsi="Times New Roman" w:cs="Tahoma"/>
          <w:sz w:val="22"/>
        </w:rPr>
      </w:r>
      <w:r w:rsidRPr="00174A7E">
        <w:rPr>
          <w:rFonts w:ascii="Times New Roman" w:hAnsi="Times New Roman" w:cs="Times New Roman"/>
          <w:sz w:val="22"/>
        </w:rPr>
        <w:t xml:space="preserve"> Case: As</w:t>
      </w:r>
      <w:r w:rsidRPr="00174A7E">
        <w:rPr>
          <w:rFonts w:ascii="Times New Roman" w:hAnsi="Times New Roman" w:cs="Tahoma"/>
          <w:sz w:val="22"/>
        </w:rPr>
      </w:r>
      <w:r w:rsidRPr="00174A7E">
        <w:rPr>
          <w:rFonts w:ascii="Times New Roman" w:hAnsi="Times New Roman" w:cs="Times New Roman"/>
          <w:sz w:val="22"/>
        </w:rPr>
        <w:t xml:space="preserve"> above → NPV = $5.56M</w:t>
      </w:r>
    </w:p>
    <w:p w14:paraId="592595B8" w14:textId="559B4010" w:rsidR="00F82580" w:rsidRPr="00174A7E" w:rsidRDefault="00F82580" w:rsidP="00174A7E">
      <w:pPr>
        <w:numPr>
          <w:ilvl w:val="0"/>
          <w:numId w:val="5"/>
        </w:numPr>
        <w:spacing w:line="480" w:lineRule="auto"/>
        <w:jc w:val="both"/>
        <w:rPr>
          <w:rFonts w:ascii="Times New Roman" w:hAnsi="Times New Roman" w:cs="Times New Roman"/>
        </w:rPr>
      </w:pPr>
      <w:r w:rsidRPr="00174A7E">
        <w:rPr>
          <w:rFonts w:ascii="Times New Roman" w:hAnsi="Times New Roman" w:cs="Times New Roman"/>
          <w:sz w:val="22"/>
        </w:rPr>
        <w:t>Optimistic: +20% revenues → NPV = $8.2M</w:t>
      </w:r>
    </w:p>
    <w:p w14:paraId="11ED982D"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WACC Sensitivity</w:t>
      </w:r>
    </w:p>
    <w:p w14:paraId="3A05E6F8" w14:textId="3FF58EF0"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If WACC increases by +2% to 18.46% → NPV</w:t>
      </w:r>
      <w:r w:rsidRPr="00174A7E">
        <w:rPr>
          <w:rFonts w:ascii="Times New Roman" w:hAnsi="Times New Roman" w:cs="Tahoma"/>
          <w:sz w:val="22"/>
        </w:rPr>
      </w:r>
      <w:r w:rsidRPr="00174A7E">
        <w:rPr>
          <w:rFonts w:ascii="Times New Roman" w:hAnsi="Times New Roman" w:cs="Times New Roman"/>
          <w:sz w:val="22"/>
        </w:rPr>
        <w:t xml:space="preserve"> drops to</w:t>
      </w:r>
      <w:r w:rsidRPr="00174A7E">
        <w:rPr>
          <w:rFonts w:ascii="Times New Roman" w:hAnsi="Times New Roman" w:cs="Tahoma"/>
          <w:sz w:val="22"/>
        </w:rPr>
      </w:r>
      <w:r w:rsidRPr="00174A7E">
        <w:rPr>
          <w:rFonts w:ascii="Times New Roman" w:hAnsi="Times New Roman" w:cs="Times New Roman"/>
          <w:sz w:val="22"/>
        </w:rPr>
        <w:t xml:space="preserve"> $4.8M (still positive).</w:t>
      </w:r>
    </w:p>
    <w:p w14:paraId="0F7A9469"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Interpretation</w:t>
      </w:r>
    </w:p>
    <w:p w14:paraId="765E3206" w14:textId="2D8973B1"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Project remains viable across scenarios, suggesting robust risk tolerance alignment.</w:t>
      </w:r>
      <w:r w:rsidRPr="00174A7E">
        <w:rPr>
          <w:rFonts w:ascii="Times New Roman" w:hAnsi="Times New Roman" w:cs="Times New Roman"/>
          <w:sz w:val="22"/>
        </w:rPr>
      </w:r>
    </w:p>
    <w:p w14:paraId="36970AC7" w14:textId="77777777" w:rsidR="00F82580" w:rsidRPr="00174A7E" w:rsidRDefault="00F82580" w:rsidP="00174A7E">
      <w:pPr>
        <w:pStyle w:val="Heading1"/>
        <w:spacing w:line="480" w:lineRule="auto"/>
        <w:ind w:left="360"/>
        <w:jc w:val="left"/>
        <w:rPr>
          <w:rFonts w:ascii="Times New Roman" w:hAnsi="Times New Roman" w:cs="Times New Roman"/>
        </w:rPr>
      </w:pPr>
      <w:r w:rsidRPr="00174A7E">
        <w:rPr>
          <w:rFonts w:ascii="Cambria" w:hAnsi="Cambria" w:cs="Times New Roman"/>
          <w:sz w:val="28"/>
        </w:rPr>
        <w:t>5. Strategic Assessment</w:t>
      </w:r>
    </w:p>
    <w:p w14:paraId="5B853DCC" w14:textId="77777777" w:rsidR="00F82580" w:rsidRPr="00174A7E" w:rsidRDefault="00F82580" w:rsidP="00174A7E">
      <w:pPr>
        <w:spacing w:line="480" w:lineRule="auto"/>
        <w:ind w:left="360"/>
        <w:jc w:val="both"/>
        <w:rPr>
          <w:rFonts w:ascii="Times New Roman" w:hAnsi="Times New Roman" w:cs="Times New Roman"/>
          <w:i/>
          <w:iCs/>
        </w:rPr>
      </w:pPr>
      <w:r w:rsidRPr="00174A7E">
        <w:rPr>
          <w:rFonts w:ascii="Times New Roman" w:hAnsi="Times New Roman" w:cs="Times New Roman"/>
          <w:i/>
          <w:iCs/>
          <w:sz w:val="22"/>
        </w:rPr>
        <w:t>Alignment with Company Goals</w:t>
      </w:r>
    </w:p>
    <w:p w14:paraId="2B4D9F9F" w14:textId="359CB3E5"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Tesla’s proposed electric motorcycle project aligns with its overarching mission to accelerate the world’s transition to sustainable energy. Introducing an electric motorcycle expands its EV portfolio beyond</w:t>
      </w:r>
      <w:r w:rsidRPr="00174A7E">
        <w:rPr>
          <w:rFonts w:ascii="Times New Roman" w:hAnsi="Times New Roman" w:cs="Tahoma"/>
          <w:sz w:val="22"/>
        </w:rPr>
      </w:r>
      <w:r w:rsidRPr="00174A7E">
        <w:rPr>
          <w:rFonts w:ascii="Times New Roman" w:hAnsi="Times New Roman" w:cs="Times New Roman"/>
          <w:sz w:val="22"/>
        </w:rPr>
        <w:t xml:space="preserve"> cars, trucks, and energy solutions, enhancing market penetration and</w:t>
      </w:r>
      <w:r w:rsidRPr="00174A7E">
        <w:rPr>
          <w:rFonts w:ascii="Times New Roman" w:hAnsi="Times New Roman" w:cs="Tahoma"/>
          <w:sz w:val="22"/>
        </w:rPr>
      </w:r>
      <w:r w:rsidRPr="00174A7E">
        <w:rPr>
          <w:rFonts w:ascii="Times New Roman" w:hAnsi="Times New Roman" w:cs="Times New Roman"/>
          <w:sz w:val="22"/>
        </w:rPr>
        <w:t xml:space="preserve"> brand influence within</w:t>
      </w:r>
      <w:r w:rsidRPr="00174A7E">
        <w:rPr>
          <w:rFonts w:ascii="Times New Roman" w:hAnsi="Times New Roman" w:cs="Tahoma"/>
          <w:sz w:val="22"/>
        </w:rPr>
      </w:r>
      <w:r w:rsidRPr="00174A7E">
        <w:rPr>
          <w:rFonts w:ascii="Times New Roman" w:hAnsi="Times New Roman" w:cs="Times New Roman"/>
          <w:sz w:val="22"/>
        </w:rPr>
        <w:t xml:space="preserve"> clean mobility segments.</w:t>
      </w:r>
    </w:p>
    <w:p w14:paraId="5BF14F55"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Capital Structure Consistency</w:t>
      </w:r>
    </w:p>
    <w:p w14:paraId="094E0056" w14:textId="57AE25F7"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Tesla maintains a low leverage ratio, with minimal reliance on debt financing (Tesla, 2024). Funding this $5 million project internally preserves its optimal capital structure, ensuring no significant deviation in debt to equity ratios</w:t>
      </w:r>
      <w:r w:rsidRPr="00174A7E">
        <w:rPr>
          <w:rFonts w:ascii="Times New Roman" w:hAnsi="Times New Roman" w:cs="Tahoma"/>
          <w:sz w:val="22"/>
        </w:rPr>
      </w:r>
      <w:r w:rsidRPr="00174A7E">
        <w:rPr>
          <w:rFonts w:ascii="Times New Roman" w:hAnsi="Times New Roman" w:cs="Times New Roman"/>
          <w:sz w:val="22"/>
        </w:rPr>
        <w:t xml:space="preserve"> while maximizing shareholder value.</w:t>
      </w:r>
    </w:p>
    <w:p w14:paraId="106FA495"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Industry Fit</w:t>
      </w:r>
    </w:p>
    <w:p w14:paraId="5BE2411D" w14:textId="4EF36366"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The global electric motorcycle market is projected to grow significantly, driven by</w:t>
      </w:r>
      <w:r w:rsidRPr="00174A7E">
        <w:rPr>
          <w:rFonts w:ascii="Times New Roman" w:hAnsi="Times New Roman" w:cs="Tahoma"/>
          <w:sz w:val="22"/>
        </w:rPr>
      </w:r>
      <w:r w:rsidRPr="00174A7E">
        <w:rPr>
          <w:rFonts w:ascii="Times New Roman" w:hAnsi="Times New Roman" w:cs="Times New Roman"/>
          <w:sz w:val="22"/>
        </w:rPr>
        <w:t xml:space="preserve"> urban congestion, fuel cost concerns, and sustainability trends. Tesla’s</w:t>
      </w:r>
      <w:r w:rsidRPr="00174A7E">
        <w:rPr>
          <w:rFonts w:ascii="Times New Roman" w:hAnsi="Times New Roman" w:cs="Tahoma"/>
          <w:sz w:val="22"/>
        </w:rPr>
      </w:r>
      <w:r w:rsidRPr="00174A7E">
        <w:rPr>
          <w:rFonts w:ascii="Times New Roman" w:hAnsi="Times New Roman" w:cs="Times New Roman"/>
          <w:sz w:val="22"/>
        </w:rPr>
        <w:t xml:space="preserve"> entry into this segment strengthens its position as a comprehensive EV manufacturer, competing with players like Zero Motorcycles and Harley Davidson’s LiveWire division.</w:t>
      </w:r>
    </w:p>
    <w:p w14:paraId="11E8E2B5"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Financial Health</w:t>
      </w:r>
    </w:p>
    <w:p w14:paraId="024FF70B" w14:textId="6A3924C2"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Tesla’s robust cash reserves and strong operating cash</w:t>
      </w:r>
      <w:r w:rsidRPr="00174A7E">
        <w:rPr>
          <w:rFonts w:ascii="Times New Roman" w:hAnsi="Times New Roman" w:cs="Tahoma"/>
          <w:sz w:val="22"/>
        </w:rPr>
      </w:r>
      <w:r w:rsidRPr="00174A7E">
        <w:rPr>
          <w:rFonts w:ascii="Times New Roman" w:hAnsi="Times New Roman" w:cs="Times New Roman"/>
          <w:sz w:val="22"/>
        </w:rPr>
        <w:t xml:space="preserve"> flows support this capital expenditure comfortably. Its low debt to equity</w:t>
      </w:r>
      <w:r w:rsidRPr="00174A7E">
        <w:rPr>
          <w:rFonts w:ascii="Times New Roman" w:hAnsi="Times New Roman" w:cs="Tahoma"/>
          <w:sz w:val="22"/>
        </w:rPr>
      </w:r>
      <w:r w:rsidRPr="00174A7E">
        <w:rPr>
          <w:rFonts w:ascii="Times New Roman" w:hAnsi="Times New Roman" w:cs="Times New Roman"/>
          <w:sz w:val="22"/>
        </w:rPr>
        <w:t xml:space="preserve"> ratio</w:t>
      </w:r>
      <w:r w:rsidRPr="00174A7E">
        <w:rPr>
          <w:rFonts w:ascii="Times New Roman" w:hAnsi="Times New Roman" w:cs="Tahoma"/>
          <w:sz w:val="22"/>
        </w:rPr>
      </w:r>
      <w:r w:rsidRPr="00174A7E">
        <w:rPr>
          <w:rFonts w:ascii="Times New Roman" w:hAnsi="Times New Roman" w:cs="Times New Roman"/>
          <w:sz w:val="22"/>
        </w:rPr>
        <w:t xml:space="preserve"> (0.13 as of</w:t>
      </w:r>
      <w:r w:rsidRPr="00174A7E">
        <w:rPr>
          <w:rFonts w:ascii="Times New Roman" w:hAnsi="Times New Roman" w:cs="Tahoma"/>
          <w:sz w:val="22"/>
        </w:rPr>
      </w:r>
      <w:r w:rsidRPr="00174A7E">
        <w:rPr>
          <w:rFonts w:ascii="Times New Roman" w:hAnsi="Times New Roman" w:cs="Times New Roman"/>
          <w:sz w:val="22"/>
        </w:rPr>
        <w:t xml:space="preserve"> 2024) indicates minimal solvency</w:t>
      </w:r>
      <w:r w:rsidRPr="00174A7E">
        <w:rPr>
          <w:rFonts w:ascii="Times New Roman" w:hAnsi="Times New Roman" w:cs="Tahoma"/>
          <w:sz w:val="22"/>
        </w:rPr>
      </w:r>
      <w:r w:rsidRPr="00174A7E">
        <w:rPr>
          <w:rFonts w:ascii="Times New Roman" w:hAnsi="Times New Roman" w:cs="Times New Roman"/>
          <w:sz w:val="22"/>
        </w:rPr>
        <w:t xml:space="preserve"> risk, allowing</w:t>
      </w:r>
      <w:r w:rsidRPr="00174A7E">
        <w:rPr>
          <w:rFonts w:ascii="Times New Roman" w:hAnsi="Times New Roman" w:cs="Tahoma"/>
          <w:sz w:val="22"/>
        </w:rPr>
      </w:r>
      <w:r w:rsidRPr="00174A7E">
        <w:rPr>
          <w:rFonts w:ascii="Times New Roman" w:hAnsi="Times New Roman" w:cs="Times New Roman"/>
          <w:sz w:val="22"/>
        </w:rPr>
        <w:t xml:space="preserve"> Tesla to undertake this strategic initiative without compromising liquidity or financial stability (Yahoo Finance, 2024).</w:t>
      </w:r>
    </w:p>
    <w:p w14:paraId="50C51CCA"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Risk Management</w:t>
      </w:r>
    </w:p>
    <w:p w14:paraId="347DF5BF" w14:textId="2D44051D"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Sensitivity analysis indicates that even</w:t>
      </w:r>
      <w:r w:rsidRPr="00174A7E">
        <w:rPr>
          <w:rFonts w:ascii="Times New Roman" w:hAnsi="Times New Roman" w:cs="Tahoma"/>
          <w:sz w:val="22"/>
        </w:rPr>
      </w:r>
      <w:r w:rsidRPr="00174A7E">
        <w:rPr>
          <w:rFonts w:ascii="Times New Roman" w:hAnsi="Times New Roman" w:cs="Times New Roman"/>
          <w:sz w:val="22"/>
        </w:rPr>
        <w:t xml:space="preserve"> under adverse scenarios</w:t>
      </w:r>
      <w:r w:rsidRPr="00174A7E">
        <w:rPr>
          <w:rFonts w:ascii="Times New Roman" w:hAnsi="Times New Roman" w:cs="Tahoma"/>
          <w:sz w:val="22"/>
        </w:rPr>
      </w:r>
      <w:r w:rsidRPr="00174A7E">
        <w:rPr>
          <w:rFonts w:ascii="Times New Roman" w:hAnsi="Times New Roman" w:cs="Times New Roman"/>
          <w:sz w:val="22"/>
        </w:rPr>
        <w:t xml:space="preserve"> (e.g. 10% increase in production</w:t>
      </w:r>
      <w:r w:rsidRPr="00174A7E">
        <w:rPr>
          <w:rFonts w:ascii="Times New Roman" w:hAnsi="Times New Roman" w:cs="Tahoma"/>
          <w:sz w:val="22"/>
        </w:rPr>
      </w:r>
      <w:r w:rsidRPr="00174A7E">
        <w:rPr>
          <w:rFonts w:ascii="Times New Roman" w:hAnsi="Times New Roman" w:cs="Times New Roman"/>
          <w:sz w:val="22"/>
        </w:rPr>
        <w:t xml:space="preserve"> costs or 15% decrease in unit sales), the project maintains a positive NPV, affirming feasibility. Additionally,</w:t>
      </w:r>
      <w:r w:rsidRPr="00174A7E">
        <w:rPr>
          <w:rFonts w:ascii="Times New Roman" w:hAnsi="Times New Roman" w:cs="Tahoma"/>
          <w:sz w:val="22"/>
        </w:rPr>
      </w:r>
      <w:r w:rsidRPr="00174A7E">
        <w:rPr>
          <w:rFonts w:ascii="Times New Roman" w:hAnsi="Times New Roman" w:cs="Times New Roman"/>
          <w:sz w:val="22"/>
        </w:rPr>
        <w:t xml:space="preserve"> brand loyalty and established manufacturing capabilities mitigate operational and market</w:t>
      </w:r>
      <w:r w:rsidRPr="00174A7E">
        <w:rPr>
          <w:rFonts w:ascii="Times New Roman" w:hAnsi="Times New Roman" w:cs="Tahoma"/>
          <w:sz w:val="22"/>
        </w:rPr>
      </w:r>
      <w:r w:rsidRPr="00174A7E">
        <w:rPr>
          <w:rFonts w:ascii="Times New Roman" w:hAnsi="Times New Roman" w:cs="Times New Roman"/>
          <w:sz w:val="22"/>
        </w:rPr>
        <w:t xml:space="preserve"> entry risks.</w:t>
      </w:r>
    </w:p>
    <w:p w14:paraId="5F4968C4" w14:textId="77777777" w:rsidR="00F82580" w:rsidRPr="00174A7E" w:rsidRDefault="00F82580" w:rsidP="00174A7E">
      <w:pPr>
        <w:pStyle w:val="Heading2"/>
        <w:spacing w:line="480" w:lineRule="auto"/>
        <w:ind w:left="360"/>
        <w:jc w:val="left"/>
        <w:rPr>
          <w:rFonts w:ascii="Times New Roman" w:hAnsi="Times New Roman" w:cs="Times New Roman"/>
          <w:i/>
          <w:iCs/>
        </w:rPr>
      </w:pPr>
      <w:r w:rsidRPr="00174A7E">
        <w:rPr>
          <w:rFonts w:ascii="Cambria" w:hAnsi="Cambria" w:cs="Times New Roman"/>
          <w:i/>
          <w:iCs/>
          <w:sz w:val="24"/>
        </w:rPr>
        <w:t>Long Term Goals</w:t>
      </w:r>
    </w:p>
    <w:p w14:paraId="1E4512E1" w14:textId="77777777"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This initiative complements Tesla’s long term strategy to diversify</w:t>
      </w:r>
      <w:r w:rsidRPr="00174A7E">
        <w:rPr>
          <w:rFonts w:ascii="Times New Roman" w:hAnsi="Times New Roman" w:cs="Tahoma"/>
          <w:sz w:val="22"/>
        </w:rPr>
      </w:r>
      <w:r w:rsidRPr="00174A7E">
        <w:rPr>
          <w:rFonts w:ascii="Times New Roman" w:hAnsi="Times New Roman" w:cs="Times New Roman"/>
          <w:sz w:val="22"/>
        </w:rPr>
        <w:t xml:space="preserve"> clean mobility offerings, enhance its technological ecosystem, and maintain leadership in the sustainable transportation industry. The electric motorcycle project supports its vision of end to end electrified transportation solutions.</w:t>
      </w:r>
    </w:p>
    <w:p w14:paraId="5AF1F5E3" w14:textId="77777777" w:rsidR="00F82580" w:rsidRPr="00174A7E" w:rsidRDefault="00F82580" w:rsidP="00174A7E">
      <w:pPr>
        <w:spacing w:line="480" w:lineRule="auto"/>
        <w:ind w:left="360"/>
        <w:rPr>
          <w:rFonts w:ascii="Times New Roman" w:hAnsi="Times New Roman" w:cs="Times New Roman"/>
        </w:rPr>
      </w:pPr>
    </w:p>
    <w:p w14:paraId="3A979229" w14:textId="77777777" w:rsidR="00F82580" w:rsidRPr="00174A7E" w:rsidRDefault="00F82580" w:rsidP="00174A7E">
      <w:pPr>
        <w:spacing w:line="480" w:lineRule="auto"/>
        <w:ind w:left="360"/>
        <w:rPr>
          <w:rFonts w:ascii="Times New Roman" w:hAnsi="Times New Roman" w:cs="Times New Roman"/>
        </w:rPr>
      </w:pPr>
    </w:p>
    <w:p w14:paraId="172A7602" w14:textId="77777777" w:rsidR="00F82580" w:rsidRPr="00174A7E" w:rsidRDefault="00F82580" w:rsidP="00174A7E">
      <w:pPr>
        <w:spacing w:line="480" w:lineRule="auto"/>
        <w:ind w:left="360"/>
        <w:rPr>
          <w:rFonts w:ascii="Times New Roman" w:hAnsi="Times New Roman" w:cs="Times New Roman"/>
        </w:rPr>
      </w:pPr>
    </w:p>
    <w:p w14:paraId="0F72EF7E" w14:textId="52FDEA0A" w:rsidR="00F82580" w:rsidRPr="00174A7E" w:rsidRDefault="00F82580" w:rsidP="00174A7E">
      <w:pPr>
        <w:pStyle w:val="Heading1"/>
        <w:spacing w:line="480" w:lineRule="auto"/>
        <w:ind w:left="360"/>
        <w:jc w:val="left"/>
        <w:rPr>
          <w:rFonts w:ascii="Times New Roman" w:hAnsi="Times New Roman" w:cs="Times New Roman"/>
        </w:rPr>
      </w:pPr>
      <w:r w:rsidRPr="00174A7E">
        <w:rPr>
          <w:rFonts w:ascii="Cambria" w:hAnsi="Cambria" w:cs="Times New Roman"/>
          <w:sz w:val="28"/>
        </w:rPr>
        <w:t>6</w:t>
      </w:r>
      <w:r w:rsidRPr="00174A7E">
        <w:rPr>
          <w:rFonts w:ascii="Cambria" w:hAnsi="Cambria" w:cs="Times New Roman"/>
          <w:sz w:val="28"/>
        </w:rPr>
        <w:t>.</w:t>
      </w:r>
      <w:r w:rsidRPr="00174A7E">
        <w:rPr>
          <w:rFonts w:ascii="Cambria" w:hAnsi="Cambria" w:cs="Tahoma"/>
          <w:sz w:val="28"/>
        </w:rPr>
      </w:r>
      <w:r w:rsidRPr="00174A7E">
        <w:rPr>
          <w:rFonts w:ascii="Cambria" w:hAnsi="Cambria" w:cs="Times New Roman"/>
          <w:sz w:val="28"/>
        </w:rPr>
        <w:t xml:space="preserve"> Final Recommendation</w:t>
      </w:r>
    </w:p>
    <w:p w14:paraId="727DCF7F" w14:textId="7ED1381C" w:rsidR="00F82580" w:rsidRP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After comprehensive evaluation,</w:t>
      </w:r>
      <w:r w:rsidRPr="00174A7E">
        <w:rPr>
          <w:rFonts w:ascii="Times New Roman" w:hAnsi="Times New Roman" w:cs="Tahoma"/>
          <w:sz w:val="22"/>
        </w:rPr>
      </w:r>
      <w:r w:rsidRPr="00174A7E">
        <w:rPr>
          <w:rFonts w:ascii="Times New Roman" w:hAnsi="Times New Roman" w:cs="Times New Roman"/>
          <w:sz w:val="22"/>
        </w:rPr>
        <w:t xml:space="preserve"> Tesla should proceed with the electric motorcycle project. The capital budgeting analysis reveals:</w:t>
      </w:r>
    </w:p>
    <w:p w14:paraId="6D6AB714" w14:textId="19157F14" w:rsidR="00F82580" w:rsidRPr="00174A7E" w:rsidRDefault="00F82580" w:rsidP="00174A7E">
      <w:pPr>
        <w:numPr>
          <w:ilvl w:val="0"/>
          <w:numId w:val="6"/>
        </w:numPr>
        <w:spacing w:line="480" w:lineRule="auto"/>
        <w:jc w:val="both"/>
        <w:rPr>
          <w:rFonts w:ascii="Times New Roman" w:hAnsi="Times New Roman" w:cs="Times New Roman"/>
        </w:rPr>
      </w:pPr>
      <w:r w:rsidRPr="00174A7E">
        <w:rPr>
          <w:rFonts w:ascii="Times New Roman" w:hAnsi="Times New Roman" w:cs="Times New Roman"/>
          <w:sz w:val="22"/>
        </w:rPr>
        <w:t>Positive NPV, indicating</w:t>
      </w:r>
      <w:r w:rsidRPr="00174A7E">
        <w:rPr>
          <w:rFonts w:ascii="Times New Roman" w:hAnsi="Times New Roman" w:cs="Tahoma"/>
          <w:sz w:val="22"/>
        </w:rPr>
      </w:r>
      <w:r w:rsidRPr="00174A7E">
        <w:rPr>
          <w:rFonts w:ascii="Times New Roman" w:hAnsi="Times New Roman" w:cs="Times New Roman"/>
          <w:sz w:val="22"/>
        </w:rPr>
        <w:t xml:space="preserve"> value creation for shareholders.</w:t>
      </w:r>
    </w:p>
    <w:p w14:paraId="08825861" w14:textId="22E083B0" w:rsidR="00F82580" w:rsidRPr="00174A7E" w:rsidRDefault="00F82580" w:rsidP="00174A7E">
      <w:pPr>
        <w:numPr>
          <w:ilvl w:val="0"/>
          <w:numId w:val="6"/>
        </w:numPr>
        <w:spacing w:line="480" w:lineRule="auto"/>
        <w:jc w:val="both"/>
        <w:rPr>
          <w:rFonts w:ascii="Times New Roman" w:hAnsi="Times New Roman" w:cs="Times New Roman"/>
        </w:rPr>
      </w:pPr>
      <w:r w:rsidRPr="00174A7E">
        <w:rPr>
          <w:rFonts w:ascii="Times New Roman" w:hAnsi="Times New Roman" w:cs="Times New Roman"/>
          <w:sz w:val="22"/>
        </w:rPr>
        <w:t>IRR significantly exceeding</w:t>
      </w:r>
      <w:r w:rsidRPr="00174A7E">
        <w:rPr>
          <w:rFonts w:ascii="Times New Roman" w:hAnsi="Times New Roman" w:cs="Tahoma"/>
          <w:sz w:val="22"/>
        </w:rPr>
      </w:r>
      <w:r w:rsidRPr="00174A7E">
        <w:rPr>
          <w:rFonts w:ascii="Times New Roman" w:hAnsi="Times New Roman" w:cs="Times New Roman"/>
          <w:sz w:val="22"/>
        </w:rPr>
        <w:t xml:space="preserve"> WACC, confirming superior returns relative to Tesla’s cost of capital.</w:t>
      </w:r>
    </w:p>
    <w:p w14:paraId="0B8537F1" w14:textId="77777777" w:rsidR="00F82580" w:rsidRPr="00174A7E" w:rsidRDefault="00F82580" w:rsidP="00174A7E">
      <w:pPr>
        <w:numPr>
          <w:ilvl w:val="0"/>
          <w:numId w:val="6"/>
        </w:numPr>
        <w:spacing w:line="480" w:lineRule="auto"/>
        <w:jc w:val="both"/>
        <w:rPr>
          <w:rFonts w:ascii="Times New Roman" w:hAnsi="Times New Roman" w:cs="Times New Roman"/>
        </w:rPr>
      </w:pPr>
      <w:r w:rsidRPr="00174A7E">
        <w:rPr>
          <w:rFonts w:ascii="Times New Roman" w:hAnsi="Times New Roman" w:cs="Times New Roman"/>
          <w:sz w:val="22"/>
        </w:rPr>
        <w:t>Quick payback period, reducing investment risk and enhancing cash flow flexibility.</w:t>
      </w:r>
    </w:p>
    <w:p w14:paraId="10BFBC98" w14:textId="77777777" w:rsidR="00F82580" w:rsidRPr="00174A7E" w:rsidRDefault="00F82580" w:rsidP="00174A7E">
      <w:pPr>
        <w:spacing w:line="480" w:lineRule="auto"/>
        <w:ind w:left="360"/>
        <w:rPr>
          <w:rFonts w:ascii="Times New Roman" w:hAnsi="Times New Roman" w:cs="Times New Roman"/>
        </w:rPr>
      </w:pPr>
    </w:p>
    <w:p w14:paraId="5CDB1449" w14:textId="7A654016" w:rsidR="00174A7E" w:rsidRDefault="00F82580"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Strategically, this initiative strengthens Tesla’s</w:t>
      </w:r>
      <w:r w:rsidRPr="00174A7E">
        <w:rPr>
          <w:rFonts w:ascii="Times New Roman" w:hAnsi="Times New Roman" w:cs="Tahoma"/>
          <w:sz w:val="22"/>
        </w:rPr>
      </w:r>
      <w:r w:rsidRPr="00174A7E">
        <w:rPr>
          <w:rFonts w:ascii="Times New Roman" w:hAnsi="Times New Roman" w:cs="Times New Roman"/>
          <w:sz w:val="22"/>
        </w:rPr>
        <w:t xml:space="preserve"> brand equity, diversifies its product portfolio, captures new consumer segments, and reinforces its mission to accelerate the adoption of sustainable energy solutions. The financial and strategic benefits outweigh potential risks, making it a compelling investment opportunity.</w:t>
      </w:r>
      <w:r w:rsidR="00174A7E">
        <w:rPr>
          <w:rFonts w:ascii="Times New Roman" w:hAnsi="Times New Roman" w:cs="Times New Roman"/>
          <w:sz w:val="22"/>
        </w:rPr>
      </w:r>
    </w:p>
    <w:p w14:paraId="07F1ABA2" w14:textId="77777777" w:rsidR="00174A7E" w:rsidRPr="00174A7E" w:rsidRDefault="00174A7E" w:rsidP="00174A7E">
      <w:pPr>
        <w:pStyle w:val="Heading1"/>
        <w:spacing w:line="480" w:lineRule="auto"/>
        <w:ind w:left="360"/>
        <w:jc w:val="left"/>
        <w:rPr>
          <w:rFonts w:ascii="Times New Roman" w:hAnsi="Times New Roman" w:cs="Times New Roman"/>
        </w:rPr>
      </w:pPr>
      <w:r w:rsidRPr="00174A7E">
        <w:rPr>
          <w:rFonts w:ascii="Cambria" w:hAnsi="Cambria" w:cs="Times New Roman"/>
          <w:sz w:val="28"/>
        </w:rPr>
        <w:t>7. References</w:t>
      </w:r>
    </w:p>
    <w:p w14:paraId="30E4C5B9" w14:textId="1B729873" w:rsidR="00174A7E" w:rsidRPr="00174A7E" w:rsidRDefault="00174A7E"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Damodaran, A. (2024). Equity Risk Premiums. NYU Stern. Retrieved from https://pages.stern.nyu.edu/~adamodar/</w:t>
      </w:r>
    </w:p>
    <w:p w14:paraId="4320ACDC" w14:textId="164F3378" w:rsidR="00174A7E" w:rsidRPr="00174A7E" w:rsidRDefault="00174A7E"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Tesla. (2024). Annual Report</w:t>
      </w:r>
      <w:r w:rsidRPr="00174A7E">
        <w:rPr>
          <w:rFonts w:ascii="Times New Roman" w:hAnsi="Times New Roman" w:cs="Tahoma"/>
          <w:sz w:val="22"/>
        </w:rPr>
      </w:r>
      <w:r w:rsidRPr="00174A7E">
        <w:rPr>
          <w:rFonts w:ascii="Times New Roman" w:hAnsi="Times New Roman" w:cs="Times New Roman"/>
          <w:sz w:val="22"/>
        </w:rPr>
        <w:t xml:space="preserve"> (Form 10 K). Retrieved from https://ir.tesla.com</w:t>
      </w:r>
    </w:p>
    <w:p w14:paraId="6DB1D7F1" w14:textId="77764534" w:rsidR="00174A7E" w:rsidRPr="00174A7E" w:rsidRDefault="00174A7E"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Yahoo Finance. (2024).</w:t>
      </w:r>
      <w:r w:rsidRPr="00174A7E">
        <w:rPr>
          <w:rFonts w:ascii="Times New Roman" w:hAnsi="Times New Roman" w:cs="Tahoma"/>
          <w:sz w:val="22"/>
        </w:rPr>
      </w:r>
      <w:r w:rsidRPr="00174A7E">
        <w:rPr>
          <w:rFonts w:ascii="Times New Roman" w:hAnsi="Times New Roman" w:cs="Times New Roman"/>
          <w:sz w:val="22"/>
        </w:rPr>
        <w:t xml:space="preserve"> Tesla Inc. (TSLA)</w:t>
      </w:r>
      <w:r w:rsidRPr="00174A7E">
        <w:rPr>
          <w:rFonts w:ascii="Times New Roman" w:hAnsi="Times New Roman" w:cs="Tahoma"/>
          <w:sz w:val="22"/>
        </w:rPr>
      </w:r>
      <w:r w:rsidRPr="00174A7E">
        <w:rPr>
          <w:rFonts w:ascii="Times New Roman" w:hAnsi="Times New Roman" w:cs="Times New Roman"/>
          <w:sz w:val="22"/>
        </w:rPr>
        <w:t xml:space="preserve"> Stock</w:t>
      </w:r>
      <w:r w:rsidRPr="00174A7E">
        <w:rPr>
          <w:rFonts w:ascii="Times New Roman" w:hAnsi="Times New Roman" w:cs="Tahoma"/>
          <w:sz w:val="22"/>
        </w:rPr>
      </w:r>
      <w:r w:rsidRPr="00174A7E">
        <w:rPr>
          <w:rFonts w:ascii="Times New Roman" w:hAnsi="Times New Roman" w:cs="Times New Roman"/>
          <w:sz w:val="22"/>
        </w:rPr>
        <w:t xml:space="preserve"> Beta. Retrieved from https://finance.yahoo.com</w:t>
      </w:r>
    </w:p>
    <w:p w14:paraId="19588EE5" w14:textId="5AB63741" w:rsidR="00130369" w:rsidRPr="00F82580" w:rsidRDefault="00174A7E" w:rsidP="00174A7E">
      <w:pPr>
        <w:spacing w:line="480" w:lineRule="auto"/>
        <w:ind w:left="360"/>
        <w:jc w:val="both"/>
        <w:rPr>
          <w:rFonts w:ascii="Times New Roman" w:hAnsi="Times New Roman" w:cs="Times New Roman"/>
        </w:rPr>
      </w:pPr>
      <w:r w:rsidRPr="00174A7E">
        <w:rPr>
          <w:rFonts w:ascii="Times New Roman" w:hAnsi="Times New Roman" w:cs="Times New Roman"/>
          <w:sz w:val="22"/>
        </w:rPr>
        <w:t>U.S. Treasury. (2024).</w:t>
      </w:r>
      <w:r w:rsidRPr="00174A7E">
        <w:rPr>
          <w:rFonts w:ascii="Times New Roman" w:hAnsi="Times New Roman" w:cs="Tahoma"/>
          <w:sz w:val="22"/>
        </w:rPr>
      </w:r>
      <w:r w:rsidRPr="00174A7E">
        <w:rPr>
          <w:rFonts w:ascii="Times New Roman" w:hAnsi="Times New Roman" w:cs="Times New Roman"/>
          <w:sz w:val="22"/>
        </w:rPr>
        <w:t xml:space="preserve"> Daily Treasury</w:t>
      </w:r>
      <w:r w:rsidRPr="00174A7E">
        <w:rPr>
          <w:rFonts w:ascii="Times New Roman" w:hAnsi="Times New Roman" w:cs="Tahoma"/>
          <w:sz w:val="22"/>
        </w:rPr>
      </w:r>
      <w:r w:rsidRPr="00174A7E">
        <w:rPr>
          <w:rFonts w:ascii="Times New Roman" w:hAnsi="Times New Roman" w:cs="Times New Roman"/>
          <w:sz w:val="22"/>
        </w:rPr>
        <w:t xml:space="preserve"> Yield</w:t>
      </w:r>
      <w:r w:rsidRPr="00174A7E">
        <w:rPr>
          <w:rFonts w:ascii="Times New Roman" w:hAnsi="Times New Roman" w:cs="Tahoma"/>
          <w:sz w:val="22"/>
        </w:rPr>
      </w:r>
      <w:r w:rsidRPr="00174A7E">
        <w:rPr>
          <w:rFonts w:ascii="Times New Roman" w:hAnsi="Times New Roman" w:cs="Times New Roman"/>
          <w:sz w:val="22"/>
        </w:rPr>
        <w:t xml:space="preserve"> Curve Rates. Retrieved from https://home.treasury.gov</w:t>
      </w:r>
    </w:p>
    <w:sectPr w:rsidR="00130369" w:rsidRPr="00F82580">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w:instrText>
      <w:fldChar w:fldCharType="separate"/>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5BFC"/>
    <w:multiLevelType w:val="hybridMultilevel"/>
    <w:tmpl w:val="448A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23C1F"/>
    <w:multiLevelType w:val="hybridMultilevel"/>
    <w:tmpl w:val="FC5E5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070399"/>
    <w:multiLevelType w:val="hybridMultilevel"/>
    <w:tmpl w:val="5A2EF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A6660E"/>
    <w:multiLevelType w:val="hybridMultilevel"/>
    <w:tmpl w:val="F9BE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120D7"/>
    <w:multiLevelType w:val="hybridMultilevel"/>
    <w:tmpl w:val="FE8E2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5A30EB"/>
    <w:multiLevelType w:val="hybridMultilevel"/>
    <w:tmpl w:val="A23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181470">
    <w:abstractNumId w:val="5"/>
  </w:num>
  <w:num w:numId="2" w16cid:durableId="545533018">
    <w:abstractNumId w:val="0"/>
  </w:num>
  <w:num w:numId="3" w16cid:durableId="1987277613">
    <w:abstractNumId w:val="3"/>
  </w:num>
  <w:num w:numId="4" w16cid:durableId="178398741">
    <w:abstractNumId w:val="1"/>
  </w:num>
  <w:num w:numId="5" w16cid:durableId="1308628445">
    <w:abstractNumId w:val="4"/>
  </w:num>
  <w:num w:numId="6" w16cid:durableId="128662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69"/>
    <w:rsid w:val="00012083"/>
    <w:rsid w:val="00130369"/>
    <w:rsid w:val="00174A7E"/>
    <w:rsid w:val="001936F0"/>
    <w:rsid w:val="00F8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6184"/>
  <w15:chartTrackingRefBased/>
  <w15:docId w15:val="{EA8A3A78-84DB-42C3-8FAC-98F05A6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after="120" w:before="0"/>
    </w:pPr>
    <w:rPr>
      <w:rFonts w:ascii="Times New Roman" w:hAnsi="Times New Roman"/>
      <w:sz w:val="22"/>
    </w:rPr>
  </w:style>
  <w:style w:type="paragraph" w:styleId="Heading1">
    <w:name w:val="heading 1"/>
    <w:basedOn w:val="Normal"/>
    <w:next w:val="Normal"/>
    <w:link w:val="Heading1Char"/>
    <w:uiPriority w:val="9"/>
    <w:qFormat/>
    <w:rsid w:val="00130369"/>
    <w:pPr>
      <w:keepNext/>
      <w:keepLines/>
      <w:spacing w:before="240" w:after="120"/>
      <w:outlineLvl w:val="0"/>
    </w:pPr>
    <w:rPr>
      <w:rFonts w:asciiTheme="majorHAnsi" w:eastAsiaTheme="majorEastAsia" w:hAnsiTheme="majorHAnsi" w:cstheme="majorBidi" w:ascii="Cambria" w:hAnsi="Cambria"/>
      <w:b/>
      <w:color w:val="0F4761" w:themeColor="accent1" w:themeShade="BF"/>
      <w:sz w:val="28"/>
      <w:szCs w:val="40"/>
    </w:rPr>
  </w:style>
  <w:style w:type="paragraph" w:styleId="Heading2">
    <w:name w:val="heading 2"/>
    <w:basedOn w:val="Normal"/>
    <w:next w:val="Normal"/>
    <w:link w:val="Heading2Char"/>
    <w:uiPriority w:val="9"/>
    <w:semiHidden/>
    <w:unhideWhenUsed/>
    <w:qFormat/>
    <w:rsid w:val="00130369"/>
    <w:pPr>
      <w:keepNext/>
      <w:keepLines/>
      <w:spacing w:before="200" w:after="80"/>
      <w:outlineLvl w:val="1"/>
    </w:pPr>
    <w:rPr>
      <w:rFonts w:asciiTheme="majorHAnsi" w:eastAsiaTheme="majorEastAsia" w:hAnsiTheme="majorHAnsi" w:cstheme="majorBidi" w:ascii="Cambria" w:hAnsi="Cambria"/>
      <w:b/>
      <w:color w:val="0F4761" w:themeColor="accent1" w:themeShade="BF"/>
      <w:sz w:val="24"/>
      <w:szCs w:val="32"/>
    </w:rPr>
  </w:style>
  <w:style w:type="paragraph" w:styleId="Heading3">
    <w:name w:val="heading 3"/>
    <w:basedOn w:val="Normal"/>
    <w:next w:val="Normal"/>
    <w:link w:val="Heading3Char"/>
    <w:uiPriority w:val="9"/>
    <w:semiHidden/>
    <w:unhideWhenUsed/>
    <w:qFormat/>
    <w:rsid w:val="00130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369"/>
    <w:rPr>
      <w:rFonts w:eastAsiaTheme="majorEastAsia" w:cstheme="majorBidi"/>
      <w:color w:val="272727" w:themeColor="text1" w:themeTint="D8"/>
    </w:rPr>
  </w:style>
  <w:style w:type="paragraph" w:styleId="Title">
    <w:name w:val="Title"/>
    <w:basedOn w:val="Normal"/>
    <w:next w:val="Normal"/>
    <w:link w:val="TitleChar"/>
    <w:uiPriority w:val="10"/>
    <w:qFormat/>
    <w:rsid w:val="0013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369"/>
    <w:pPr>
      <w:spacing w:before="160"/>
      <w:jc w:val="center"/>
    </w:pPr>
    <w:rPr>
      <w:i/>
      <w:iCs/>
      <w:color w:val="404040" w:themeColor="text1" w:themeTint="BF"/>
    </w:rPr>
  </w:style>
  <w:style w:type="character" w:customStyle="1" w:styleId="QuoteChar">
    <w:name w:val="Quote Char"/>
    <w:basedOn w:val="DefaultParagraphFont"/>
    <w:link w:val="Quote"/>
    <w:uiPriority w:val="29"/>
    <w:rsid w:val="00130369"/>
    <w:rPr>
      <w:i/>
      <w:iCs/>
      <w:color w:val="404040" w:themeColor="text1" w:themeTint="BF"/>
    </w:rPr>
  </w:style>
  <w:style w:type="paragraph" w:styleId="ListParagraph">
    <w:name w:val="List Paragraph"/>
    <w:basedOn w:val="Normal"/>
    <w:uiPriority w:val="34"/>
    <w:qFormat/>
    <w:rsid w:val="00130369"/>
    <w:pPr>
      <w:ind w:left="720"/>
      <w:contextualSpacing/>
    </w:pPr>
  </w:style>
  <w:style w:type="character" w:styleId="IntenseEmphasis">
    <w:name w:val="Intense Emphasis"/>
    <w:basedOn w:val="DefaultParagraphFont"/>
    <w:uiPriority w:val="21"/>
    <w:qFormat/>
    <w:rsid w:val="00130369"/>
    <w:rPr>
      <w:i/>
      <w:iCs/>
      <w:color w:val="0F4761" w:themeColor="accent1" w:themeShade="BF"/>
    </w:rPr>
  </w:style>
  <w:style w:type="paragraph" w:styleId="IntenseQuote">
    <w:name w:val="Intense Quote"/>
    <w:basedOn w:val="Normal"/>
    <w:next w:val="Normal"/>
    <w:link w:val="IntenseQuoteChar"/>
    <w:uiPriority w:val="30"/>
    <w:qFormat/>
    <w:rsid w:val="0013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369"/>
    <w:rPr>
      <w:i/>
      <w:iCs/>
      <w:color w:val="0F4761" w:themeColor="accent1" w:themeShade="BF"/>
    </w:rPr>
  </w:style>
  <w:style w:type="character" w:styleId="IntenseReference">
    <w:name w:val="Intense Reference"/>
    <w:basedOn w:val="DefaultParagraphFont"/>
    <w:uiPriority w:val="32"/>
    <w:qFormat/>
    <w:rsid w:val="00130369"/>
    <w:rPr>
      <w:b/>
      <w:bCs/>
      <w:smallCaps/>
      <w:color w:val="0F4761" w:themeColor="accent1" w:themeShade="BF"/>
      <w:spacing w:val="5"/>
    </w:rPr>
  </w:style>
  <w:style w:type="table" w:styleId="TableGrid">
    <w:name w:val="Table Grid"/>
    <w:basedOn w:val="TableNormal"/>
    <w:uiPriority w:val="39"/>
    <w:rsid w:val="00130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rchlineTitle">
    <w:name w:val="Torchline Title"/>
    <w:pPr>
      <w:spacing w:after="240" w:line="264" w:lineRule="auto"/>
      <w:jc w:val="center"/>
    </w:pPr>
    <w:rPr>
      <w:rFonts w:ascii="Cambria" w:hAnsi="Cambria"/>
      <w:b/>
      <w:sz w:val="36"/>
    </w:rPr>
  </w:style>
  <w:style w:type="paragraph" w:customStyle="1" w:styleId="TorchlineSubtitle">
    <w:name w:val="Torchline Subtitle"/>
    <w:pPr>
      <w:spacing w:after="120"/>
      <w:jc w:val="center"/>
    </w:pPr>
    <w:rPr>
      <w:rFonts w:ascii="Cambria" w:hAnsi="Cambria"/>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020">
      <w:bodyDiv w:val="1"/>
      <w:marLeft w:val="0"/>
      <w:marRight w:val="0"/>
      <w:marTop w:val="0"/>
      <w:marBottom w:val="0"/>
      <w:divBdr>
        <w:top w:val="none" w:sz="0" w:space="0" w:color="auto"/>
        <w:left w:val="none" w:sz="0" w:space="0" w:color="auto"/>
        <w:bottom w:val="none" w:sz="0" w:space="0" w:color="auto"/>
        <w:right w:val="none" w:sz="0" w:space="0" w:color="auto"/>
      </w:divBdr>
    </w:div>
    <w:div w:id="684598429">
      <w:bodyDiv w:val="1"/>
      <w:marLeft w:val="0"/>
      <w:marRight w:val="0"/>
      <w:marTop w:val="0"/>
      <w:marBottom w:val="0"/>
      <w:divBdr>
        <w:top w:val="none" w:sz="0" w:space="0" w:color="auto"/>
        <w:left w:val="none" w:sz="0" w:space="0" w:color="auto"/>
        <w:bottom w:val="none" w:sz="0" w:space="0" w:color="auto"/>
        <w:right w:val="none" w:sz="0" w:space="0" w:color="auto"/>
      </w:divBdr>
    </w:div>
    <w:div w:id="1159618290">
      <w:bodyDiv w:val="1"/>
      <w:marLeft w:val="0"/>
      <w:marRight w:val="0"/>
      <w:marTop w:val="0"/>
      <w:marBottom w:val="0"/>
      <w:divBdr>
        <w:top w:val="none" w:sz="0" w:space="0" w:color="auto"/>
        <w:left w:val="none" w:sz="0" w:space="0" w:color="auto"/>
        <w:bottom w:val="none" w:sz="0" w:space="0" w:color="auto"/>
        <w:right w:val="none" w:sz="0" w:space="0" w:color="auto"/>
      </w:divBdr>
    </w:div>
    <w:div w:id="20757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Mehdi</dc:creator>
  <cp:keywords/>
  <dc:description/>
  <cp:lastModifiedBy>Syed Mehdi</cp:lastModifiedBy>
  <cp:revision>1</cp:revision>
  <dcterms:created xsi:type="dcterms:W3CDTF">2025-07-04T04:03:00Z</dcterms:created>
  <dcterms:modified xsi:type="dcterms:W3CDTF">2025-07-04T04:26:00Z</dcterms:modified>
</cp:coreProperties>
</file>